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76" w:lineRule="auto"/>
        <w:jc w:val="left"/>
      </w:pPr>
      <w:r>
        <w:rPr>
          <w:rFonts w:ascii="Segoe UI" w:hAnsi="Segoe UI" w:cs="Segoe UI"/>
          <w:b/>
          <w:i w:val="0"/>
          <w:color w:val="0284C7"/>
          <w:sz w:val="19"/>
        </w:rPr>
        <w:t>THORNFIELD LIFE SCIENCES MARKETING</w:t>
      </w:r>
    </w:p>
    <w:p>
      <w:pPr>
        <w:spacing w:after="280" w:before="40" w:line="276" w:lineRule="auto"/>
        <w:jc w:val="left"/>
      </w:pPr>
      <w:r>
        <w:rPr>
          <w:rFonts w:ascii="Segoe UI" w:hAnsi="Segoe UI" w:cs="Segoe UI"/>
          <w:b/>
          <w:i w:val="0"/>
          <w:color w:val="0F172A"/>
          <w:sz w:val="35"/>
        </w:rPr>
        <w:t>MEMO — Client Incentive Programs — Early-Renewal Incentive &amp; Referral Credit</w:t>
      </w:r>
    </w:p>
    <w:tbl>
      <w:tblPr>
        <w:tblW w:type="auto" w:w="0"/>
        <w:jc w:val="center"/>
        <w:tblLayout w:type="fixed"/>
        <w:tblLook w:firstColumn="1" w:firstRow="1" w:lastColumn="0" w:lastRow="0" w:noHBand="0" w:noVBand="1" w:val="04A0"/>
      </w:tblPr>
      <w:tblGrid>
        <w:gridCol w:w="4680"/>
        <w:gridCol w:w="4680"/>
      </w:tblGrid>
      <w:tr>
        <w:tc>
          <w:tcPr>
            <w:tcW w:type="dxa" w:w="1296"/>
            <w:shd w:fill="F8FAFC"/>
            <w:tcMar>
              <w:top w:w="140" w:type="dxa"/>
              <w:bottom w:w="140" w:type="dxa"/>
              <w:left w:w="200" w:type="dxa"/>
              <w:right w:w="200" w:type="dxa"/>
            </w:tcMar>
            <w:tcBorders>
              <w:top w:val="single" w:sz="6" w:space="0" w:color="CBD5E1"/>
              <w:bottom w:val="single" w:sz="4" w:space="0" w:color="E2E8F0"/>
              <w:left w:val="single" w:sz="28" w:space="0" w:color="0F4C81"/>
              <w:right w:val="none"/>
            </w:tcBorders>
          </w:tcPr>
          <w:p>
            <w:pPr>
              <w:spacing w:before="20" w:after="20" w:line="276" w:lineRule="auto"/>
              <w:jc w:val="left"/>
            </w:pPr>
            <w:r>
              <w:rPr>
                <w:rFonts w:ascii="Segoe UI" w:hAnsi="Segoe UI" w:cs="Segoe UI"/>
                <w:b/>
                <w:color w:val="0F4C81"/>
                <w:sz w:val="19"/>
              </w:rPr>
            </w:r>
            <w:r>
              <w:rPr>
                <w:rFonts w:ascii="Segoe UI" w:hAnsi="Segoe UI" w:cs="Segoe UI"/>
                <w:b/>
                <w:color w:val="0F4C81"/>
                <w:sz w:val="19"/>
              </w:rPr>
              <w:t>Date:</w:t>
            </w:r>
          </w:p>
        </w:tc>
        <w:tc>
          <w:tcPr>
            <w:tcW w:type="dxa" w:w="8064"/>
            <w:shd w:fill="F8FAFC"/>
            <w:tcMar>
              <w:top w:w="140" w:type="dxa"/>
              <w:bottom w:w="140" w:type="dxa"/>
              <w:left w:w="200" w:type="dxa"/>
              <w:right w:w="200" w:type="dxa"/>
            </w:tcMar>
            <w:tcBorders>
              <w:top w:val="single" w:sz="6" w:space="0" w:color="CBD5E1"/>
              <w:bottom w:val="single" w:sz="4" w:space="0" w:color="E2E8F0"/>
              <w:left w:val="none"/>
              <w:right w:val="single" w:sz="6" w:space="0" w:color="CBD5E1"/>
            </w:tcBorders>
          </w:tcPr>
          <w:p>
            <w:pPr>
              <w:spacing w:before="20" w:after="20" w:line="276" w:lineRule="auto"/>
              <w:jc w:val="left"/>
            </w:pPr>
            <w:r>
              <w:rPr>
                <w:rFonts w:ascii="Segoe UI" w:hAnsi="Segoe UI" w:cs="Segoe UI"/>
                <w:color w:val="334155"/>
                <w:sz w:val="19"/>
              </w:rPr>
            </w:r>
            <w:r>
              <w:rPr>
                <w:rFonts w:ascii="Segoe UI" w:hAnsi="Segoe UI" w:cs="Segoe UI"/>
                <w:color w:val="334155"/>
                <w:sz w:val="19"/>
              </w:rPr>
              <w:t>10/15/2025</w:t>
            </w:r>
          </w:p>
        </w:tc>
      </w:tr>
      <w:tr>
        <w:tc>
          <w:tcPr>
            <w:tcW w:type="dxa" w:w="1296"/>
            <w:shd w:fill="F8FAFC"/>
            <w:tcMar>
              <w:top w:w="140" w:type="dxa"/>
              <w:bottom w:w="140" w:type="dxa"/>
              <w:left w:w="200" w:type="dxa"/>
              <w:right w:w="200" w:type="dxa"/>
            </w:tcMar>
            <w:tcBorders>
              <w:top w:val="single" w:sz="4" w:space="0" w:color="E2E8F0"/>
              <w:bottom w:val="single" w:sz="4" w:space="0" w:color="E2E8F0"/>
              <w:left w:val="single" w:sz="28" w:space="0" w:color="0F4C81"/>
              <w:right w:val="none"/>
            </w:tcBorders>
          </w:tcPr>
          <w:p>
            <w:pPr>
              <w:spacing w:before="20" w:after="20" w:line="276" w:lineRule="auto"/>
              <w:jc w:val="left"/>
            </w:pPr>
            <w:r>
              <w:rPr>
                <w:rFonts w:ascii="Segoe UI" w:hAnsi="Segoe UI" w:cs="Segoe UI"/>
                <w:b/>
                <w:color w:val="0F4C81"/>
                <w:sz w:val="19"/>
              </w:rPr>
            </w:r>
            <w:r>
              <w:rPr>
                <w:rFonts w:ascii="Segoe UI" w:hAnsi="Segoe UI" w:cs="Segoe UI"/>
                <w:b/>
                <w:color w:val="0F4C81"/>
                <w:sz w:val="19"/>
              </w:rPr>
              <w:t>From:</w:t>
            </w:r>
          </w:p>
        </w:tc>
        <w:tc>
          <w:tcPr>
            <w:tcW w:type="dxa" w:w="8064"/>
            <w:shd w:fill="F8FAFC"/>
            <w:tcMar>
              <w:top w:w="140" w:type="dxa"/>
              <w:bottom w:w="140" w:type="dxa"/>
              <w:left w:w="200" w:type="dxa"/>
              <w:right w:w="200" w:type="dxa"/>
            </w:tcMar>
            <w:tcBorders>
              <w:top w:val="single" w:sz="4" w:space="0" w:color="E2E8F0"/>
              <w:bottom w:val="single" w:sz="4" w:space="0" w:color="E2E8F0"/>
              <w:left w:val="none"/>
              <w:right w:val="single" w:sz="6" w:space="0" w:color="CBD5E1"/>
            </w:tcBorders>
          </w:tcPr>
          <w:p>
            <w:pPr>
              <w:spacing w:before="20" w:after="20" w:line="276" w:lineRule="auto"/>
              <w:jc w:val="left"/>
            </w:pPr>
            <w:r>
              <w:rPr>
                <w:rFonts w:ascii="Segoe UI" w:hAnsi="Segoe UI" w:cs="Segoe UI"/>
                <w:color w:val="334155"/>
                <w:sz w:val="19"/>
              </w:rPr>
            </w:r>
            <w:r>
              <w:rPr>
                <w:rFonts w:ascii="Segoe UI" w:hAnsi="Segoe UI" w:cs="Segoe UI"/>
                <w:color w:val="334155"/>
                <w:sz w:val="19"/>
              </w:rPr>
              <w:t>Ted Kowalczyk, VP Paid Media</w:t>
            </w:r>
          </w:p>
        </w:tc>
      </w:tr>
      <w:tr>
        <w:tc>
          <w:tcPr>
            <w:tcW w:type="dxa" w:w="1296"/>
            <w:shd w:fill="F8FAFC"/>
            <w:tcMar>
              <w:top w:w="140" w:type="dxa"/>
              <w:bottom w:w="140" w:type="dxa"/>
              <w:left w:w="200" w:type="dxa"/>
              <w:right w:w="200" w:type="dxa"/>
            </w:tcMar>
            <w:tcBorders>
              <w:top w:val="single" w:sz="4" w:space="0" w:color="E2E8F0"/>
              <w:bottom w:val="single" w:sz="4" w:space="0" w:color="E2E8F0"/>
              <w:left w:val="single" w:sz="28" w:space="0" w:color="0F4C81"/>
              <w:right w:val="none"/>
            </w:tcBorders>
          </w:tcPr>
          <w:p>
            <w:pPr>
              <w:spacing w:before="20" w:after="20" w:line="276" w:lineRule="auto"/>
              <w:jc w:val="left"/>
            </w:pPr>
            <w:r>
              <w:rPr>
                <w:rFonts w:ascii="Segoe UI" w:hAnsi="Segoe UI" w:cs="Segoe UI"/>
                <w:b/>
                <w:color w:val="0F4C81"/>
                <w:sz w:val="19"/>
              </w:rPr>
            </w:r>
            <w:r>
              <w:rPr>
                <w:rFonts w:ascii="Segoe UI" w:hAnsi="Segoe UI" w:cs="Segoe UI"/>
                <w:b/>
                <w:color w:val="0F4C81"/>
                <w:sz w:val="19"/>
              </w:rPr>
              <w:t>To:</w:t>
            </w:r>
          </w:p>
        </w:tc>
        <w:tc>
          <w:tcPr>
            <w:tcW w:type="dxa" w:w="8064"/>
            <w:shd w:fill="F8FAFC"/>
            <w:tcMar>
              <w:top w:w="140" w:type="dxa"/>
              <w:bottom w:w="140" w:type="dxa"/>
              <w:left w:w="200" w:type="dxa"/>
              <w:right w:w="200" w:type="dxa"/>
            </w:tcMar>
            <w:tcBorders>
              <w:top w:val="single" w:sz="4" w:space="0" w:color="E2E8F0"/>
              <w:bottom w:val="single" w:sz="4" w:space="0" w:color="E2E8F0"/>
              <w:left w:val="none"/>
              <w:right w:val="single" w:sz="6" w:space="0" w:color="CBD5E1"/>
            </w:tcBorders>
          </w:tcPr>
          <w:p>
            <w:pPr>
              <w:spacing w:before="20" w:after="20" w:line="276" w:lineRule="auto"/>
              <w:jc w:val="left"/>
            </w:pPr>
            <w:r>
              <w:rPr>
                <w:rFonts w:ascii="Segoe UI" w:hAnsi="Segoe UI" w:cs="Segoe UI"/>
                <w:color w:val="334155"/>
                <w:sz w:val="19"/>
              </w:rPr>
            </w:r>
            <w:r>
              <w:rPr>
                <w:rFonts w:ascii="Segoe UI" w:hAnsi="Segoe UI" w:cs="Segoe UI"/>
                <w:color w:val="334155"/>
                <w:sz w:val="19"/>
              </w:rPr>
              <w:t>Client Strategy, Finance, Marketing Operations — distribution</w:t>
            </w:r>
          </w:p>
        </w:tc>
      </w:tr>
      <w:tr>
        <w:tc>
          <w:tcPr>
            <w:tcW w:type="dxa" w:w="1296"/>
            <w:shd w:fill="F8FAFC"/>
            <w:tcMar>
              <w:top w:w="140" w:type="dxa"/>
              <w:bottom w:w="140" w:type="dxa"/>
              <w:left w:w="200" w:type="dxa"/>
              <w:right w:w="200" w:type="dxa"/>
            </w:tcMar>
            <w:tcBorders>
              <w:top w:val="single" w:sz="4" w:space="0" w:color="E2E8F0"/>
              <w:bottom w:val="single" w:sz="12" w:space="0" w:color="0F4C81"/>
              <w:left w:val="single" w:sz="28" w:space="0" w:color="0F4C81"/>
              <w:right w:val="none"/>
            </w:tcBorders>
          </w:tcPr>
          <w:p>
            <w:pPr>
              <w:spacing w:before="20" w:after="20" w:line="276" w:lineRule="auto"/>
              <w:jc w:val="left"/>
            </w:pPr>
            <w:r>
              <w:rPr>
                <w:rFonts w:ascii="Segoe UI" w:hAnsi="Segoe UI" w:cs="Segoe UI"/>
                <w:b/>
                <w:color w:val="0F4C81"/>
                <w:sz w:val="19"/>
              </w:rPr>
            </w:r>
            <w:r>
              <w:rPr>
                <w:rFonts w:ascii="Segoe UI" w:hAnsi="Segoe UI" w:cs="Segoe UI"/>
                <w:b/>
                <w:color w:val="0F4C81"/>
                <w:sz w:val="19"/>
              </w:rPr>
              <w:t>Re:</w:t>
            </w:r>
          </w:p>
        </w:tc>
        <w:tc>
          <w:tcPr>
            <w:tcW w:type="dxa" w:w="8064"/>
            <w:shd w:fill="F8FAFC"/>
            <w:tcMar>
              <w:top w:w="140" w:type="dxa"/>
              <w:bottom w:w="140" w:type="dxa"/>
              <w:left w:w="200" w:type="dxa"/>
              <w:right w:w="200" w:type="dxa"/>
            </w:tcMar>
            <w:tcBorders>
              <w:top w:val="single" w:sz="4" w:space="0" w:color="E2E8F0"/>
              <w:bottom w:val="single" w:sz="12" w:space="0" w:color="0F4C81"/>
              <w:left w:val="none"/>
              <w:right w:val="single" w:sz="6" w:space="0" w:color="CBD5E1"/>
            </w:tcBorders>
          </w:tcPr>
          <w:p>
            <w:pPr>
              <w:spacing w:before="20" w:after="20" w:line="276" w:lineRule="auto"/>
              <w:jc w:val="left"/>
            </w:pPr>
            <w:r>
              <w:rPr>
                <w:rFonts w:ascii="Segoe UI" w:hAnsi="Segoe UI" w:cs="Segoe UI"/>
                <w:color w:val="334155"/>
                <w:sz w:val="19"/>
              </w:rPr>
              <w:t>Client Incentive Programs — Early-Renewal Incentive &amp; Referral Credit (stacking with Thornfield Rate Card)</w:t>
            </w:r>
            <w:r>
              <w:rPr>
                <w:rFonts w:ascii="Segoe UI" w:hAnsi="Segoe UI" w:cs="Segoe UI"/>
                <w:color w:val="334155"/>
                <w:sz w:val="19"/>
              </w:rPr>
            </w:r>
          </w:p>
        </w:tc>
      </w:tr>
    </w:tbl>
    <w:p>
      <w:pPr>
        <w:spacing w:after="0" w:before="0" w:line="240" w:lineRule="auto"/>
        <w:jc w:val="left"/>
      </w:pPr>
      <w:r>
        <w:rPr>
          <w:rFonts w:ascii="Segoe UI" w:hAnsi="Segoe UI" w:cs="Segoe UI"/>
          <w:b w:val="0"/>
          <w:i w:val="0"/>
          <w:color w:val="334155"/>
          <w:sz w:val="8"/>
        </w:rPr>
      </w:r>
    </w:p>
    <w:p>
      <w:pPr>
        <w:spacing w:after="100" w:before="360" w:line="276" w:lineRule="auto"/>
        <w:jc w:val="left"/>
        <w:pBdr>
          <w:bottom w:val="single" w:sz="12" w:space="4" w:color="0F4C81"/>
        </w:pBdr>
      </w:pPr>
      <w:r>
        <w:rPr>
          <w:rFonts w:ascii="Segoe UI" w:hAnsi="Segoe UI" w:cs="Segoe UI"/>
          <w:b/>
          <w:i w:val="0"/>
          <w:color w:val="0F4C81"/>
          <w:sz w:val="24"/>
        </w:rPr>
        <w:t>1. Purpose</w:t>
      </w:r>
    </w:p>
    <w:p>
      <w:pPr>
        <w:spacing w:after="220" w:before="0" w:line="300" w:lineRule="auto"/>
        <w:jc w:val="left"/>
      </w:pPr>
      <w:r>
        <w:rPr>
          <w:rFonts w:ascii="Segoe UI" w:hAnsi="Segoe UI" w:cs="Segoe UI"/>
          <w:b w:val="0"/>
          <w:i w:val="0"/>
          <w:color w:val="334155"/>
          <w:sz w:val="20"/>
        </w:rPr>
        <w:t>This memo formalizes two client-facing incentive-type discounts introduced alongside the standard Thornfield Rate Card (effective 09/01/2025). Both incentives are intended to sit on top of the standard schedule and are administered by the VP, Paid Media. The stacking rules in Section 4 govern how these incentives interact with one another and with the standard multi-year renewal discount established on the rate card.</w:t>
      </w:r>
    </w:p>
    <w:p>
      <w:pPr>
        <w:spacing w:after="100" w:before="360" w:line="276" w:lineRule="auto"/>
        <w:jc w:val="left"/>
        <w:pBdr>
          <w:bottom w:val="single" w:sz="12" w:space="4" w:color="0F4C81"/>
        </w:pBdr>
      </w:pPr>
      <w:r>
        <w:rPr>
          <w:rFonts w:ascii="Segoe UI" w:hAnsi="Segoe UI" w:cs="Segoe UI"/>
          <w:b/>
          <w:i w:val="0"/>
          <w:color w:val="0F4C81"/>
          <w:sz w:val="24"/>
        </w:rPr>
        <w:t>2. Early-Renewal Incentive</w:t>
      </w:r>
    </w:p>
    <w:p>
      <w:pPr>
        <w:spacing w:after="220" w:before="0" w:line="300" w:lineRule="auto"/>
        <w:jc w:val="left"/>
      </w:pPr>
      <w:r>
        <w:rPr>
          <w:rFonts w:ascii="Segoe UI" w:hAnsi="Segoe UI" w:cs="Segoe UI"/>
          <w:b w:val="0"/>
          <w:i w:val="0"/>
          <w:color w:val="334155"/>
          <w:sz w:val="20"/>
        </w:rPr>
        <w:t>A 3% early-renewal discount, applied to the base contract value, is available when a client signs a renewal at least 60 days before their current term expires. Eligibility is measured against the current term expiry date on file in ERPNext at the time the renewal is executed. The 3% early-renewal discount applies to the base contract value of the renewal engagement only; it is not applied to prior-term invoices or to out-of-scope work.</w:t>
      </w:r>
    </w:p>
    <w:p>
      <w:pPr>
        <w:spacing w:after="100" w:before="360" w:line="276" w:lineRule="auto"/>
        <w:jc w:val="left"/>
        <w:pBdr>
          <w:bottom w:val="single" w:sz="12" w:space="4" w:color="0F4C81"/>
        </w:pBdr>
      </w:pPr>
      <w:r>
        <w:rPr>
          <w:rFonts w:ascii="Segoe UI" w:hAnsi="Segoe UI" w:cs="Segoe UI"/>
          <w:b/>
          <w:i w:val="0"/>
          <w:color w:val="0F4C81"/>
          <w:sz w:val="24"/>
        </w:rPr>
        <w:t>3. Referral Credit</w:t>
      </w:r>
    </w:p>
    <w:p>
      <w:pPr>
        <w:spacing w:after="220" w:before="0" w:line="300" w:lineRule="auto"/>
        <w:jc w:val="left"/>
      </w:pPr>
      <w:r>
        <w:rPr>
          <w:rFonts w:ascii="Segoe UI" w:hAnsi="Segoe UI" w:cs="Segoe UI"/>
          <w:b w:val="0"/>
          <w:i w:val="0"/>
          <w:color w:val="334155"/>
          <w:sz w:val="20"/>
        </w:rPr>
        <w:t>A 1.5% referral credit, applied to the base contract value, is available for a client originally referred to Thornfield by an existing Thornfield client. Referral status is determined from the Customer master in ERPNext (originating-referral field) and must be documented at the time of the original account opening; the 1.5% referral credit is applied to the base contract value of the qualifying engagement.</w:t>
      </w:r>
    </w:p>
    <w:p>
      <w:pPr>
        <w:spacing w:after="100" w:before="360" w:line="276" w:lineRule="auto"/>
        <w:jc w:val="left"/>
        <w:pBdr>
          <w:bottom w:val="single" w:sz="12" w:space="4" w:color="0F4C81"/>
        </w:pBdr>
      </w:pPr>
      <w:r>
        <w:rPr>
          <w:rFonts w:ascii="Segoe UI" w:hAnsi="Segoe UI" w:cs="Segoe UI"/>
          <w:b/>
          <w:i w:val="0"/>
          <w:color w:val="0F4C81"/>
          <w:sz w:val="24"/>
        </w:rPr>
        <w:t>4. Stacking Rules</w:t>
      </w:r>
    </w:p>
    <w:p>
      <w:pPr>
        <w:spacing w:after="220" w:before="0" w:line="300" w:lineRule="auto"/>
        <w:jc w:val="left"/>
      </w:pPr>
      <w:r>
        <w:rPr>
          <w:rFonts w:ascii="Segoe UI" w:hAnsi="Segoe UI" w:cs="Segoe UI"/>
          <w:b w:val="0"/>
          <w:i w:val="0"/>
          <w:color w:val="334155"/>
          <w:sz w:val="20"/>
        </w:rPr>
        <w:t>Each incentive stacks with the standard 15% multi-year renewal discount. When more than one client incentive is applicable on the same engagement, the incentive with the higher individual rate governs for that engagement; the lower-rate incentive is not additionally applied. Combined totals remain subject to the stacking cap in pricing_policy_stacking_cap.pdf.</w:t>
      </w:r>
    </w:p>
    <w:p>
      <w:pPr>
        <w:spacing w:after="100" w:before="360" w:line="276" w:lineRule="auto"/>
        <w:jc w:val="left"/>
        <w:pBdr>
          <w:bottom w:val="single" w:sz="12" w:space="4" w:color="0F4C81"/>
        </w:pBdr>
      </w:pPr>
      <w:r>
        <w:rPr>
          <w:rFonts w:ascii="Segoe UI" w:hAnsi="Segoe UI" w:cs="Segoe UI"/>
          <w:b/>
          <w:i w:val="0"/>
          <w:color w:val="0F4C81"/>
          <w:sz w:val="24"/>
        </w:rPr>
        <w:t>5. Combined Cap Reference</w:t>
      </w:r>
    </w:p>
    <w:p>
      <w:pPr>
        <w:spacing w:after="220" w:before="0" w:line="300" w:lineRule="auto"/>
        <w:jc w:val="left"/>
      </w:pPr>
      <w:r>
        <w:rPr>
          <w:rFonts w:ascii="Segoe UI" w:hAnsi="Segoe UI" w:cs="Segoe UI"/>
          <w:b w:val="0"/>
          <w:i w:val="0"/>
          <w:color w:val="334155"/>
          <w:sz w:val="20"/>
        </w:rPr>
        <w:t>Combined total stacked discount is subject to the cap in the pricing-policy footnote (the Discount Stacking Cap policy, pricing_policy_stacking_cap.pdf). Refer to that policy for the applicable cap value and for the order of operations when the sum of the applied multi-year discount and the governing incentive would otherwise exceed the cap.</w:t>
      </w:r>
    </w:p>
    <w:p>
      <w:pPr>
        <w:spacing w:after="80" w:before="440" w:line="240" w:lineRule="auto"/>
        <w:jc w:val="left"/>
      </w:pPr>
      <w:r>
        <w:rPr>
          <w:rFonts w:ascii="Segoe UI" w:hAnsi="Segoe UI" w:cs="Segoe UI"/>
          <w:b w:val="0"/>
          <w:i w:val="0"/>
          <w:color w:val="CBD5E1"/>
          <w:sz w:val="18"/>
        </w:rPr>
        <w:t>________________________________</w:t>
      </w:r>
    </w:p>
    <w:p>
      <w:pPr>
        <w:spacing w:before="80" w:after="240" w:line="276" w:lineRule="auto"/>
        <w:jc w:val="left"/>
      </w:pPr>
      <w:r>
        <w:rPr>
          <w:rFonts w:ascii="Segoe UI" w:hAnsi="Segoe UI" w:cs="Segoe UI"/>
          <w:b/>
          <w:i w:val="0"/>
          <w:color w:val="0F4C81"/>
          <w:sz w:val="19"/>
        </w:rPr>
        <w:t>Approved by: Ted Kowalczyk, VP Paid Media        Date: 10/15/2025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