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Segoe UI" w:hAnsi="Segoe UI"/>
          <w:b/>
          <w:color w:val="0284C7"/>
          <w:sz w:val="19"/>
        </w:rPr>
        <w:t>THORNFIELD LIFE SCIENCES MARKETING</w:t>
      </w:r>
    </w:p>
    <w:p>
      <w:pPr>
        <w:spacing w:after="280" w:before="0" w:line="276" w:lineRule="auto"/>
      </w:pPr>
      <w:r>
        <w:rPr>
          <w:rFonts w:ascii="Segoe UI" w:hAnsi="Segoe UI"/>
          <w:b/>
          <w:color w:val="0F172A"/>
          <w:sz w:val="36"/>
        </w:rPr>
        <w:t>MEMO — Marketing Operations Month-End Reporting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4" w:space="0" w:color="0F172A"/>
          <w:bottom w:val="single" w:sz="8" w:space="0" w:color="CBD5E1"/>
          <w:left w:val="none"/>
          <w:right w:val="none"/>
          <w:insideH w:val="none"/>
          <w:insideV w:val="none"/>
        </w:tblBorders>
      </w:tblPr>
      <w:tblGrid>
        <w:gridCol w:w="1296"/>
        <w:gridCol w:w="8064"/>
      </w:tblGrid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Date: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t>01/12/2026</w:t>
            </w:r>
          </w:p>
        </w:tc>
      </w:tr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From: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Priya Ramaswamy, Marketing Operations Lead</w:t>
            </w:r>
          </w:p>
        </w:tc>
      </w:tr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To: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Marketing Operations distribution; Analytics &amp; Reporting; Finance Director; Compliance &amp; Legal Counsel; Creative Director</w:t>
            </w:r>
          </w:p>
        </w:tc>
      </w:tr>
      <w:tr>
        <w:tc>
          <w:tcPr>
            <w:tcW w:type="dxa" w:w="1224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F2942"/>
                <w:sz w:val="19"/>
              </w:rPr>
              <w:t>Re:</w:t>
            </w:r>
          </w:p>
        </w:tc>
        <w:tc>
          <w:tcPr>
            <w:tcW w:type="dxa" w:w="8568"/>
            <w:shd w:val="clear" w:color="auto"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Marketing Ops Month-End Reporting Checklist — December 2025 / Q4 Close</w:t>
            </w:r>
          </w:p>
        </w:tc>
      </w:tr>
    </w:tbl>
    <w:p>
      <w:pPr>
        <w:spacing w:after="0" w:before="0"/>
      </w:pPr>
    </w:p>
    <w:p>
      <w:pPr>
        <w:spacing w:before="320" w:after="12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1. Purpose</w:t>
      </w:r>
    </w:p>
    <w:p>
      <w:pPr>
        <w:spacing w:after="240" w:before="0" w:line="288" w:lineRule="auto"/>
      </w:pPr>
      <w:r>
        <w:rPr>
          <w:rFonts w:ascii="Segoe UI" w:hAnsi="Segoe UI"/>
          <w:b w:val="0"/>
          <w:color w:val="334155"/>
          <w:sz w:val="20"/>
        </w:rPr>
        <w:t>Standard month-end reporting checklist covering the December 2025 monthly close and the Q4 2025 / FY2025 quarterly close. All items listed below must be complete, cross-checked against the governing SOPs and definitions memos, and management-reviewed before the reporting package is released to Finance and the Board for QBR pre-read distribution on 01/20/2026.</w:t>
      </w:r>
    </w:p>
    <w:p>
      <w:pPr>
        <w:spacing w:before="360" w:after="16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2. Checklist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1. Q4 CRM lead &amp; opportunity export finalized (Q4_2025_crm_export.xlsx) — Grace Feldman ✓ 01/06/2026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2. SQL definitions and lead-type classifications confirmed against the applicable definitions standard — Grace Feldman ✓ 01/06/2026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3. Closed-won TTM revenue export refreshed (closed_won_revenue_export.xlsx) — Grace Feldman ✓ 01/07/2026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4. Q4 managed spend export by client refreshed and reconciled to platform totals (Q4_2025_managed_spend_export.xlsx) — Grace Feldman ✓ 01/06/2026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5. Client renewal date CRM extract refreshed (client_renewal_dates.xlsx) — Grace Feldman ✓ 01/07/2026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6. Finance Q4 billing export finalized (Q4_2025_billing_export.xlsx) — Alan Rutherford ✓ 01/06/2026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7. Q4 credit memos posted and cross-referenced to billing lines — Alan Rutherford ✓ 01/07/2026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8. Attribution dashboard Q4 refresh (Q4_attribution_dashboard_export.csv) — Grace Feldman ✓ 01/07/2026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9. Attribution vs. billing variance analysis prepared, prior-period comparison attached (attribution_nov_dec_comparison.csv) — Grace Feldman ✓ 01/07/2026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10. FY2025 P&amp;L proration workbook tied to Thornfield and Bramwell standalone financials — Alan Rutherford ✓ 01/09/2026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11. Legacy-client transition log reviewed and inherited-account tags verified against ERPNext — Sofia Bergen ✓ 01/12/2026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12. Vendor insertion-order status and Q4 spend commitments confirmed — Ted Kowalczyk ✓ 01/10/2026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13. Compliance reserve postings reviewed against Q4 spend tiers; sign-off log updated — Linh Vuong ✓ 01/10/2026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14. Creative doc-control log audited; approved brief versions confirmed for all Q4 campaigns — Owen Castellano ✓ 01/11/2026 [Complete]</w:t>
      </w:r>
    </w:p>
    <w:p>
      <w:pPr>
        <w:spacing w:after="80" w:before="60" w:line="276" w:lineRule="auto"/>
        <w:ind w:left="216" w:hanging="432"/>
        <w:pBdr>
          <w:left w:val="single" w:sz="18" w:space="10" w:color="0284C7"/>
        </w:pBdr>
        <w:shd w:val="clear" w:color="auto" w:fill="F8FAFC"/>
      </w:pPr>
      <w:r>
        <w:rPr>
          <w:rFonts w:ascii="Segoe UI" w:hAnsi="Segoe UI"/>
          <w:b w:val="0"/>
          <w:color w:val="1E293B"/>
          <w:sz w:val="19"/>
        </w:rPr>
        <w:t>15. All data management-reviewed and finalized ahead of QBR pre-read. — Priya Ramaswamy ✓ 01/12/2026 [Complete]</w:t>
      </w:r>
    </w:p>
    <w:p>
      <w:pPr>
        <w:spacing w:before="360" w:after="12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3. Reporting Standard</w:t>
      </w:r>
    </w:p>
    <w:p>
      <w:pPr>
        <w:spacing w:after="240" w:before="0" w:line="288" w:lineRule="auto"/>
      </w:pPr>
      <w:r>
        <w:rPr>
          <w:rFonts w:ascii="Segoe UI" w:hAnsi="Segoe UI"/>
          <w:b w:val="0"/>
          <w:color w:val="334155"/>
          <w:sz w:val="20"/>
        </w:rPr>
        <w:t>All items above conform to the applicable definitions and reporting standards. Any figure that appears in the Q4 close package traces back to a source export listed above; no downstream slide, memo, or reconciliation should introduce a figure that is not present in one of the finalized exports.</w:t>
      </w:r>
    </w:p>
    <w:p>
      <w:pPr>
        <w:spacing w:before="360" w:after="12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6"/>
        </w:rPr>
        <w:t>4. Effective Date</w:t>
      </w:r>
    </w:p>
    <w:p>
      <w:pPr>
        <w:spacing w:after="320" w:before="0" w:line="288" w:lineRule="auto"/>
      </w:pPr>
      <w:r>
        <w:rPr>
          <w:rFonts w:ascii="Segoe UI" w:hAnsi="Segoe UI"/>
          <w:b w:val="0"/>
          <w:color w:val="334155"/>
          <w:sz w:val="20"/>
        </w:rPr>
        <w:t>01/12/2026 — this checklist governs the December 2025 / Q4 2025 close cycle. The finalized package is released to Finance and to the Board pre-read distribution list on this date; no further edits to the underlying Q4 exports without written sign-off from the Marketing Operations Lead and the Finance Director.</w:t>
      </w:r>
    </w:p>
    <w:p>
      <w:pPr>
        <w:spacing w:before="400" w:after="40"/>
      </w:pPr>
      <w:r>
        <w:rPr>
          <w:rFonts w:ascii="Segoe UI" w:hAnsi="Segoe UI"/>
          <w:color w:val="CBD5E1"/>
          <w:sz w:val="20"/>
        </w:rPr>
        <w:t>________________________________</w:t>
      </w:r>
    </w:p>
    <w:p>
      <w:pPr>
        <w:spacing w:after="240" w:before="40"/>
      </w:pPr>
      <w:r>
        <w:rPr>
          <w:rFonts w:ascii="Segoe UI" w:hAnsi="Segoe UI"/>
          <w:b/>
          <w:color w:val="0F172A"/>
          <w:sz w:val="20"/>
        </w:rPr>
        <w:t>Approved by: Priya Ramaswamy, Marketing Operations Lead        Date: 01/12/2026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