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Segoe UI" w:hAnsi="Segoe UI"/>
          <w:b/>
          <w:i w:val="0"/>
          <w:color w:val="2563EB"/>
          <w:sz w:val="19"/>
          <w:spacing w:val="20"/>
        </w:rPr>
        <w:t>THORNFIELD LIFE SCIENCES MARKETING</w:t>
      </w:r>
    </w:p>
    <w:p>
      <w:pPr>
        <w:spacing w:after="280" w:before="40" w:line="276" w:lineRule="auto"/>
      </w:pPr>
      <w:r>
        <w:rPr>
          <w:rFonts w:ascii="Segoe UI" w:hAnsi="Segoe UI"/>
          <w:b/>
          <w:i w:val="0"/>
          <w:color w:val="0F172A"/>
          <w:sz w:val="36"/>
        </w:rPr>
        <w:t>MEMO — SQL Definitions &amp; Pipeline Reporting Standards (v1.2)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224"/>
            <w:shd w:fill="F8FAFC"/>
            <w:tcMar>
              <w:top w:w="100" w:type="dxa"/>
              <w:bottom w:w="10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24" w:space="0" w:color="2563EB"/>
              <w:right w:val="none"/>
            </w:tcBorders>
          </w:tcPr>
          <w:p>
            <w:pPr>
              <w:spacing w:after="40" w:before="40" w:line="276" w:lineRule="auto"/>
            </w:pPr>
            <w:r>
              <w:rPr>
                <w:rFonts w:ascii="Segoe UI" w:hAnsi="Segoe UI"/>
                <w:b/>
                <w:color w:val="2563EB"/>
                <w:sz w:val="19"/>
              </w:rPr>
              <w:t>Date:</w:t>
            </w:r>
          </w:p>
        </w:tc>
        <w:tc>
          <w:tcPr>
            <w:tcW w:type="dxa" w:w="8136"/>
            <w:shd w:fill="F8FAFC"/>
            <w:tcMar>
              <w:top w:w="100" w:type="dxa"/>
              <w:bottom w:w="10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single" w:sz="4" w:space="0" w:color="E2E8F0"/>
            </w:tcBorders>
          </w:tcPr>
          <w:p>
            <w:pPr>
              <w:spacing w:after="40" w:before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10/15/2025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100" w:type="dxa"/>
              <w:bottom w:w="10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24" w:space="0" w:color="2563EB"/>
              <w:right w:val="none"/>
            </w:tcBorders>
          </w:tcPr>
          <w:p>
            <w:pPr>
              <w:spacing w:after="40" w:before="40" w:line="276" w:lineRule="auto"/>
            </w:pPr>
            <w:r>
              <w:rPr>
                <w:rFonts w:ascii="Segoe UI" w:hAnsi="Segoe UI"/>
                <w:b/>
                <w:color w:val="2563EB"/>
                <w:sz w:val="19"/>
              </w:rPr>
              <w:t>From:</w:t>
            </w:r>
          </w:p>
        </w:tc>
        <w:tc>
          <w:tcPr>
            <w:tcW w:type="dxa" w:w="8136"/>
            <w:shd w:fill="F8FAFC"/>
            <w:tcMar>
              <w:top w:w="100" w:type="dxa"/>
              <w:bottom w:w="10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single" w:sz="4" w:space="0" w:color="E2E8F0"/>
            </w:tcBorders>
          </w:tcPr>
          <w:p>
            <w:pPr>
              <w:spacing w:after="40" w:before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Grace Feldman, Director, Analytics &amp; Reporting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100" w:type="dxa"/>
              <w:bottom w:w="10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24" w:space="0" w:color="2563EB"/>
              <w:right w:val="none"/>
            </w:tcBorders>
          </w:tcPr>
          <w:p>
            <w:pPr>
              <w:spacing w:after="40" w:before="40" w:line="276" w:lineRule="auto"/>
            </w:pPr>
            <w:r>
              <w:rPr>
                <w:rFonts w:ascii="Segoe UI" w:hAnsi="Segoe UI"/>
                <w:b/>
                <w:color w:val="2563EB"/>
                <w:sz w:val="19"/>
              </w:rPr>
              <w:t>To:</w:t>
            </w:r>
          </w:p>
        </w:tc>
        <w:tc>
          <w:tcPr>
            <w:tcW w:type="dxa" w:w="8136"/>
            <w:shd w:fill="F8FAFC"/>
            <w:tcMar>
              <w:top w:w="100" w:type="dxa"/>
              <w:bottom w:w="10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single" w:sz="4" w:space="0" w:color="E2E8F0"/>
            </w:tcBorders>
          </w:tcPr>
          <w:p>
            <w:pPr>
              <w:spacing w:after="40" w:before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Marketing Ops, Sales</w:t>
            </w:r>
          </w:p>
        </w:tc>
      </w:tr>
      <w:tr>
        <w:trPr>
          <w:cantSplit/>
        </w:trPr>
        <w:tc>
          <w:tcPr>
            <w:tcW w:type="dxa" w:w="1224"/>
            <w:shd w:fill="F8FAFC"/>
            <w:tcMar>
              <w:top w:w="100" w:type="dxa"/>
              <w:bottom w:w="10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single" w:sz="24" w:space="0" w:color="2563EB"/>
              <w:right w:val="none"/>
            </w:tcBorders>
          </w:tcPr>
          <w:p>
            <w:pPr>
              <w:spacing w:after="40" w:before="40" w:line="276" w:lineRule="auto"/>
            </w:pPr>
            <w:r>
              <w:rPr>
                <w:rFonts w:ascii="Segoe UI" w:hAnsi="Segoe UI"/>
                <w:b/>
                <w:color w:val="2563EB"/>
                <w:sz w:val="19"/>
              </w:rPr>
              <w:t>Re:</w:t>
            </w:r>
          </w:p>
        </w:tc>
        <w:tc>
          <w:tcPr>
            <w:tcW w:type="dxa" w:w="8136"/>
            <w:shd w:fill="F8FAFC"/>
            <w:tcMar>
              <w:top w:w="100" w:type="dxa"/>
              <w:bottom w:w="100" w:type="dxa"/>
              <w:left w:w="200" w:type="dxa"/>
              <w:right w:w="2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single" w:sz="4" w:space="0" w:color="E2E8F0"/>
            </w:tcBorders>
          </w:tcPr>
          <w:p>
            <w:pPr>
              <w:spacing w:after="40" w:before="40" w:line="276" w:lineRule="auto"/>
            </w:pPr>
            <w:r>
              <w:rPr>
                <w:rFonts w:ascii="Segoe UI" w:hAnsi="Segoe UI"/>
                <w:b/>
                <w:color w:val="0F172A"/>
                <w:sz w:val="19"/>
              </w:rPr>
              <w:t>SQL Definitions &amp; Pipeline Reporting Standards (v1.2)</w:t>
            </w:r>
          </w:p>
        </w:tc>
      </w:tr>
    </w:tbl>
    <w:p>
      <w:pPr>
        <w:spacing w:after="80" w:before="0" w:line="24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320" w:before="240" w:line="300" w:lineRule="auto"/>
        <w:ind w:left="280" w:right="280"/>
        <w:shd w:fill="F0F6FF"/>
        <w:pBdr>
          <w:top w:val="none"/>
          <w:left w:val="single" w:sz="28" w:space="18" w:color="2563EB"/>
          <w:bottom w:val="none"/>
          <w:right w:val="none"/>
        </w:pBdr>
      </w:pPr>
      <w:r>
        <w:rPr>
          <w:rFonts w:ascii="Segoe UI" w:hAnsi="Segoe UI"/>
          <w:b w:val="0"/>
          <w:i w:val="0"/>
          <w:color w:val="1E293B"/>
          <w:sz w:val="21"/>
        </w:rPr>
        <w:t>A Sales Qualified Lead (SQL) is defined as any lead that has been sales-touched — i.e., accepted by a sales representative and progressed to at least an initial discovery conversation. Self-serve trial signups are EXPLICITLY EXCLUDED from the SQL count for pipeline reporting purposes. Pipeline value forecasts must apply revenue-per-SQL only to the filtered sales-touched subset.</w:t>
      </w:r>
    </w:p>
    <w:p>
      <w:pPr>
        <w:keepNext/>
        <w:spacing w:after="120" w:before="360" w:line="276" w:lineRule="auto"/>
        <w:pBdr>
          <w:top w:val="none"/>
          <w:left w:val="none"/>
          <w:bottom w:val="single" w:sz="6" w:space="6" w:color="E2E8F0"/>
          <w:right w:val="none"/>
        </w:pBdr>
      </w:pPr>
      <w:r>
        <w:rPr>
          <w:rFonts w:ascii="Segoe UI" w:hAnsi="Segoe UI"/>
          <w:b/>
          <w:i w:val="0"/>
          <w:color w:val="0F172A"/>
          <w:sz w:val="26"/>
        </w:rPr>
        <w:t>1. Purpose</w:t>
      </w:r>
    </w:p>
    <w:p>
      <w:pPr>
        <w:spacing w:after="160" w:before="0" w:line="293" w:lineRule="auto"/>
      </w:pPr>
      <w:r>
        <w:rPr>
          <w:rFonts w:ascii="Segoe UI" w:hAnsi="Segoe UI"/>
          <w:b w:val="0"/>
          <w:i w:val="0"/>
          <w:color w:val="334155"/>
          <w:sz w:val="20"/>
        </w:rPr>
        <w:t>This memo supersedes prior informal SQL definitions circulating between Marketing Ops and Sales and establishes v1.2 as the standing convention for all Q4 2025 and forward pipeline reporting, board pre-reads, and internal forecasts. Analytics has observed recurring drift between the CRM's raw lead count and the figure that should be forwarded to pipeline models; the definition below is the sole source of truth going forward.</w:t>
      </w:r>
    </w:p>
    <w:p>
      <w:pPr>
        <w:spacing w:after="160" w:before="0" w:line="293" w:lineRule="auto"/>
      </w:pPr>
      <w:r>
        <w:rPr>
          <w:rFonts w:ascii="Segoe UI" w:hAnsi="Segoe UI"/>
          <w:b w:val="0"/>
          <w:i w:val="0"/>
          <w:color w:val="334155"/>
          <w:sz w:val="20"/>
        </w:rPr>
        <w:t>Scope: all CRM-sourced lead counts feeding QBR pipeline forecasts, quarterly board slides, and Marketing Ops dashboards. The convention applies uniformly across Thornfield-native and Bramwell-inherited accounts on the post-migration ERPNext instance.</w:t>
      </w:r>
    </w:p>
    <w:p>
      <w:pPr>
        <w:keepNext/>
        <w:spacing w:after="120" w:before="360" w:line="276" w:lineRule="auto"/>
        <w:pBdr>
          <w:top w:val="none"/>
          <w:left w:val="none"/>
          <w:bottom w:val="single" w:sz="6" w:space="6" w:color="E2E8F0"/>
          <w:right w:val="none"/>
        </w:pBdr>
      </w:pPr>
      <w:r>
        <w:rPr>
          <w:rFonts w:ascii="Segoe UI" w:hAnsi="Segoe UI"/>
          <w:b/>
          <w:i w:val="0"/>
          <w:color w:val="0F172A"/>
          <w:sz w:val="26"/>
        </w:rPr>
        <w:t>2. SQL Definition</w:t>
      </w:r>
    </w:p>
    <w:p>
      <w:pPr>
        <w:spacing w:after="160" w:before="0" w:line="293" w:lineRule="auto"/>
      </w:pPr>
      <w:r>
        <w:rPr>
          <w:rFonts w:ascii="Segoe UI" w:hAnsi="Segoe UI"/>
          <w:color w:val="334155"/>
          <w:sz w:val="20"/>
        </w:rPr>
        <w:t xml:space="preserve">An SQL is a lead that has been </w:t>
      </w:r>
      <w:r>
        <w:rPr>
          <w:rFonts w:ascii="Segoe UI" w:hAnsi="Segoe UI"/>
          <w:b/>
          <w:color w:val="334155"/>
          <w:sz w:val="20"/>
        </w:rPr>
        <w:t>sales-touched</w:t>
      </w:r>
      <w:r>
        <w:rPr>
          <w:rFonts w:ascii="Segoe UI" w:hAnsi="Segoe UI"/>
          <w:color w:val="334155"/>
          <w:sz w:val="20"/>
        </w:rPr>
        <w:t>: accepted by a sales representative in the CRM and progressed to at least an initial discovery conversation. Both conditions must be true. A lead that has been assigned to a rep but not yet worked (no logged discovery call, no accepted stage transition) does not qualify.</w:t>
      </w:r>
    </w:p>
    <w:p>
      <w:pPr>
        <w:spacing w:after="160" w:before="0" w:line="293" w:lineRule="auto"/>
      </w:pPr>
      <w:r>
        <w:rPr>
          <w:rFonts w:ascii="Segoe UI" w:hAnsi="Segoe UI"/>
          <w:color w:val="334155"/>
          <w:sz w:val="20"/>
        </w:rPr>
        <w:t xml:space="preserve">Operationally, this maps to the CRM </w:t>
      </w:r>
      <w:r>
        <w:rPr>
          <w:rFonts w:ascii="Consolas" w:hAnsi="Consolas"/>
          <w:b/>
          <w:color w:val="0F172A"/>
          <w:sz w:val="19"/>
        </w:rPr>
        <w:t>Lead Type</w:t>
      </w:r>
      <w:r>
        <w:rPr>
          <w:rFonts w:ascii="Segoe UI" w:hAnsi="Segoe UI"/>
          <w:color w:val="334155"/>
          <w:sz w:val="20"/>
        </w:rPr>
        <w:t xml:space="preserve"> field having value </w:t>
      </w:r>
      <w:r>
        <w:rPr>
          <w:rFonts w:ascii="Consolas" w:hAnsi="Consolas"/>
          <w:b/>
          <w:color w:val="0F172A"/>
          <w:sz w:val="19"/>
        </w:rPr>
        <w:t>Sales-Touched</w:t>
      </w:r>
      <w:r>
        <w:rPr>
          <w:rFonts w:ascii="Segoe UI" w:hAnsi="Segoe UI"/>
          <w:color w:val="334155"/>
          <w:sz w:val="20"/>
        </w:rPr>
        <w:t xml:space="preserve"> and the opportunity record advancing at least to the Discovery stage. Marketing-sourced content downloads, webinar registrations, and unaccepted MQLs are outside the SQL definition until and unless they are worked and advanced by Sales.</w:t>
      </w:r>
    </w:p>
    <w:p>
      <w:pPr>
        <w:keepNext/>
        <w:spacing w:after="120" w:before="360" w:line="276" w:lineRule="auto"/>
        <w:pBdr>
          <w:top w:val="none"/>
          <w:left w:val="none"/>
          <w:bottom w:val="single" w:sz="6" w:space="6" w:color="E2E8F0"/>
          <w:right w:val="none"/>
        </w:pBdr>
      </w:pPr>
      <w:r>
        <w:rPr>
          <w:rFonts w:ascii="Segoe UI" w:hAnsi="Segoe UI"/>
          <w:b/>
          <w:i w:val="0"/>
          <w:color w:val="0F172A"/>
          <w:sz w:val="26"/>
        </w:rPr>
        <w:t>3. Explicit Exclusions (Self-Serve Trials)</w:t>
      </w:r>
    </w:p>
    <w:p>
      <w:pPr>
        <w:spacing w:after="160" w:before="0" w:line="293" w:lineRule="auto"/>
      </w:pPr>
      <w:r>
        <w:rPr>
          <w:rFonts w:ascii="Segoe UI" w:hAnsi="Segoe UI"/>
          <w:color w:val="334155"/>
          <w:sz w:val="20"/>
        </w:rPr>
        <w:t xml:space="preserve">The v1.2 convention </w:t>
      </w:r>
      <w:r>
        <w:rPr>
          <w:rFonts w:ascii="Segoe UI" w:hAnsi="Segoe UI"/>
          <w:b/>
          <w:color w:val="334155"/>
          <w:sz w:val="20"/>
        </w:rPr>
        <w:t>excludes self-serve trial</w:t>
      </w:r>
      <w:r>
        <w:rPr>
          <w:rFonts w:ascii="Segoe UI" w:hAnsi="Segoe UI"/>
          <w:color w:val="334155"/>
          <w:sz w:val="20"/>
        </w:rPr>
        <w:t xml:space="preserve"> signups from the SQL count for pipeline reporting purposes. This category — inbound users who initiate a product trial without ever being accepted or worked by a sales representative — is tracked separately by Product Marketing and is not eligible to be counted, weighted, or forecasted as an SQL.</w:t>
      </w:r>
    </w:p>
    <w:p>
      <w:pPr>
        <w:spacing w:after="160" w:before="0" w:line="293" w:lineRule="auto"/>
      </w:pPr>
      <w:r>
        <w:rPr>
          <w:rFonts w:ascii="Segoe UI" w:hAnsi="Segoe UI"/>
          <w:b w:val="0"/>
          <w:i w:val="0"/>
          <w:color w:val="334155"/>
          <w:sz w:val="20"/>
        </w:rPr>
        <w:t>Additional exclusions, for completeness:</w:t>
      </w:r>
    </w:p>
    <w:p>
      <w:pPr>
        <w:pStyle w:val="ListBullet"/>
        <w:spacing w:after="80" w:before="40" w:line="288" w:lineRule="auto"/>
        <w:ind w:left="480" w:hanging="240"/>
      </w:pPr>
      <w:r>
        <w:rPr>
          <w:rFonts w:ascii="Segoe UI" w:hAnsi="Segoe UI"/>
          <w:color w:val="334155"/>
          <w:sz w:val="20"/>
        </w:rPr>
        <w:t>Duplicate leads collapsed at the account level.</w:t>
      </w:r>
    </w:p>
    <w:p>
      <w:pPr>
        <w:pStyle w:val="ListBullet"/>
        <w:spacing w:after="80" w:before="40" w:line="288" w:lineRule="auto"/>
        <w:ind w:left="480" w:hanging="240"/>
      </w:pPr>
      <w:r>
        <w:rPr>
          <w:rFonts w:ascii="Segoe UI" w:hAnsi="Segoe UI"/>
          <w:color w:val="334155"/>
          <w:sz w:val="20"/>
        </w:rPr>
        <w:t>Partner-referred leads pending sales acceptance (become eligible once accepted and worked).</w:t>
      </w:r>
    </w:p>
    <w:p>
      <w:pPr>
        <w:pStyle w:val="ListBullet"/>
        <w:spacing w:after="160" w:before="40" w:line="288" w:lineRule="auto"/>
        <w:ind w:left="480" w:hanging="240"/>
      </w:pPr>
      <w:r>
        <w:rPr>
          <w:rFonts w:ascii="Segoe UI" w:hAnsi="Segoe UI"/>
          <w:color w:val="334155"/>
          <w:sz w:val="20"/>
        </w:rPr>
        <w:t>Reactivated closed-lost opportunities that have not re-entered Discovery.</w:t>
      </w:r>
    </w:p>
    <w:p>
      <w:pPr>
        <w:spacing w:after="160" w:before="0" w:line="293" w:lineRule="auto"/>
      </w:pPr>
      <w:r>
        <w:rPr>
          <w:rFonts w:ascii="Segoe UI" w:hAnsi="Segoe UI"/>
          <w:color w:val="334155"/>
          <w:sz w:val="20"/>
        </w:rPr>
        <w:t xml:space="preserve">Self-serve trial records remain visible in the CRM under </w:t>
      </w:r>
      <w:r>
        <w:rPr>
          <w:rFonts w:ascii="Consolas" w:hAnsi="Consolas"/>
          <w:b/>
          <w:color w:val="0F172A"/>
          <w:sz w:val="19"/>
        </w:rPr>
        <w:t>Lead Type = Self-Serve Trial</w:t>
      </w:r>
      <w:r>
        <w:rPr>
          <w:rFonts w:ascii="Segoe UI" w:hAnsi="Segoe UI"/>
          <w:color w:val="334155"/>
          <w:sz w:val="20"/>
        </w:rPr>
        <w:t xml:space="preserve"> for Product Marketing purposes, but must be filtered out of any SQL-based pipeline calculation.</w:t>
      </w:r>
    </w:p>
    <w:p>
      <w:pPr>
        <w:keepNext/>
        <w:spacing w:after="120" w:before="360" w:line="276" w:lineRule="auto"/>
        <w:pBdr>
          <w:top w:val="none"/>
          <w:left w:val="none"/>
          <w:bottom w:val="single" w:sz="6" w:space="6" w:color="E2E8F0"/>
          <w:right w:val="none"/>
        </w:pBdr>
      </w:pPr>
      <w:r>
        <w:rPr>
          <w:rFonts w:ascii="Segoe UI" w:hAnsi="Segoe UI"/>
          <w:b/>
          <w:i w:val="0"/>
          <w:color w:val="0F172A"/>
          <w:sz w:val="26"/>
        </w:rPr>
        <w:t>4. Reporting Convention</w:t>
      </w:r>
    </w:p>
    <w:p>
      <w:pPr>
        <w:spacing w:after="160" w:before="0" w:line="293" w:lineRule="auto"/>
      </w:pPr>
      <w:r>
        <w:rPr>
          <w:rFonts w:ascii="Segoe UI" w:hAnsi="Segoe UI"/>
          <w:b w:val="0"/>
          <w:i w:val="0"/>
          <w:color w:val="334155"/>
          <w:sz w:val="20"/>
        </w:rPr>
        <w:t>The correct order of operations for pipeline value forecasts is:</w:t>
      </w:r>
    </w:p>
    <w:p>
      <w:pPr>
        <w:pStyle w:val="ListNumber"/>
        <w:spacing w:after="80" w:before="40" w:line="288" w:lineRule="auto"/>
        <w:ind w:left="480" w:hanging="240"/>
      </w:pPr>
      <w:r>
        <w:rPr>
          <w:rFonts w:ascii="Segoe UI" w:hAnsi="Segoe UI"/>
          <w:color w:val="334155"/>
          <w:sz w:val="20"/>
        </w:rPr>
        <w:t>Pull the raw lead export from the CRM.</w:t>
      </w:r>
    </w:p>
    <w:p>
      <w:pPr>
        <w:pStyle w:val="ListNumber"/>
        <w:spacing w:after="80" w:before="40" w:line="288" w:lineRule="auto"/>
        <w:ind w:left="480" w:hanging="240"/>
      </w:pPr>
      <w:r>
        <w:rPr>
          <w:rFonts w:ascii="Segoe UI" w:hAnsi="Segoe UI"/>
          <w:b/>
          <w:color w:val="334155"/>
          <w:sz w:val="20"/>
        </w:rPr>
        <w:t>Filter</w:t>
      </w:r>
      <w:r>
        <w:rPr>
          <w:rFonts w:ascii="Segoe UI" w:hAnsi="Segoe UI"/>
          <w:color w:val="334155"/>
          <w:sz w:val="20"/>
        </w:rPr>
        <w:t xml:space="preserve"> to </w:t>
      </w:r>
      <w:r>
        <w:rPr>
          <w:rFonts w:ascii="Consolas" w:hAnsi="Consolas"/>
          <w:b/>
          <w:color w:val="0F172A"/>
          <w:sz w:val="19"/>
        </w:rPr>
        <w:t>Lead Type = Sales-Touched</w:t>
      </w:r>
      <w:r>
        <w:rPr>
          <w:rFonts w:ascii="Segoe UI" w:hAnsi="Segoe UI"/>
          <w:color w:val="334155"/>
          <w:sz w:val="20"/>
        </w:rPr>
        <w:t xml:space="preserve"> (i.e., drop self-serve trials and any other non-qualifying rows per §2–§3).</w:t>
      </w:r>
    </w:p>
    <w:p>
      <w:pPr>
        <w:pStyle w:val="ListNumber"/>
        <w:spacing w:after="280" w:before="40" w:line="288" w:lineRule="auto"/>
        <w:ind w:left="480" w:hanging="240"/>
      </w:pPr>
      <w:r>
        <w:rPr>
          <w:rFonts w:ascii="Segoe UI" w:hAnsi="Segoe UI"/>
          <w:color w:val="334155"/>
          <w:sz w:val="20"/>
        </w:rPr>
        <w:t>Apply the average revenue-per-SQL (per the Closed-Won Revenue Export, TTM) only to the filtered sales-touched subset.</w:t>
      </w:r>
    </w:p>
    <w:p>
      <w:pPr>
        <w:spacing w:after="320" w:before="320" w:line="240" w:lineRule="auto"/>
        <w:jc w:val="left"/>
      </w:pPr>
      <w:r>
        <w:rPr>
          <w:rFonts w:ascii="Segoe UI" w:hAnsi="Segoe UI"/>
          <w:b w:val="0"/>
          <w:i w:val="0"/>
          <w:color w:val="CBD5E1"/>
          <w:sz w:val="16"/>
        </w:rPr>
        <w:t>________________________________________</w:t>
      </w:r>
    </w:p>
    <w:p>
      <w:pPr>
        <w:spacing w:after="40" w:before="80" w:line="276" w:lineRule="auto"/>
      </w:pPr>
      <w:r>
        <w:rPr>
          <w:rFonts w:ascii="Segoe UI" w:hAnsi="Segoe UI"/>
          <w:b/>
          <w:i w:val="0"/>
          <w:color w:val="0F172A"/>
          <w:sz w:val="21"/>
        </w:rPr>
        <w:t>Approved: Grace Feldman — 10/15/2025</w:t>
      </w:r>
    </w:p>
    <w:p>
      <w:pPr>
        <w:spacing w:after="40" w:before="0" w:line="276" w:lineRule="auto"/>
      </w:pPr>
      <w:r>
        <w:rPr>
          <w:rFonts w:ascii="Segoe UI" w:hAnsi="Segoe UI"/>
          <w:b w:val="0"/>
          <w:i w:val="0"/>
          <w:color w:val="64748B"/>
          <w:sz w:val="19"/>
        </w:rPr>
        <w:t>Director, Analytics &amp; Reporting</w:t>
      </w:r>
    </w:p>
    <w:p>
      <w:pPr>
        <w:spacing w:after="0" w:before="0" w:line="276" w:lineRule="auto"/>
      </w:pPr>
      <w:r>
        <w:rPr>
          <w:rFonts w:ascii="Segoe UI" w:hAnsi="Segoe UI"/>
          <w:b/>
          <w:i w:val="0"/>
          <w:color w:val="2563EB"/>
          <w:sz w:val="19"/>
        </w:rPr>
        <w:t>Thornfield Life Sciences Marketing, Inc.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