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 w:cs="Calibri" w:eastAsia="Calibri"/>
          <w:b/>
          <w:i w:val="0"/>
          <w:color w:val="0F4C81"/>
          <w:sz w:val="19"/>
        </w:rPr>
        <w:t>THORNFIELD LIFE SCIENCES MARKETING</w:t>
      </w:r>
    </w:p>
    <w:p>
      <w:pPr>
        <w:spacing w:after="320" w:before="0"/>
        <w:pBdr>
          <w:bottom w:val="single" w:sz="18" w:space="4" w:color="0F4C81"/>
        </w:pBdr>
      </w:pPr>
      <w:r>
        <w:rPr>
          <w:rFonts w:ascii="Segoe UI" w:hAnsi="Segoe UI" w:cs="Calibri" w:eastAsia="Calibri"/>
          <w:b/>
          <w:i w:val="0"/>
          <w:color w:val="0F172A"/>
          <w:sz w:val="40"/>
        </w:rPr>
        <w:t>MEMO — Client Strategy / Client-Services SOP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Borders>
          <w:top w:val="single" w:sz="6" w:space="0" w:color="CBD5E1"/>
          <w:bottom w:val="single" w:sz="6" w:space="0" w:color="CBD5E1"/>
          <w:left w:val="single" w:sz="24" w:space="0" w:color="0F4C81"/>
          <w:right w:val="single" w:sz="6" w:space="0" w:color="CBD5E1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1584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0F4C81"/>
                <w:sz w:val="20"/>
              </w:rPr>
            </w:r>
            <w:r>
              <w:rPr>
                <w:rFonts w:ascii="Segoe UI" w:hAnsi="Segoe UI" w:cs="Calibri" w:eastAsia="Calibri"/>
                <w:b/>
                <w:i w:val="0"/>
                <w:color w:val="0F4C81"/>
                <w:sz w:val="20"/>
              </w:rPr>
              <w:t>Date:</w:t>
            </w:r>
          </w:p>
        </w:tc>
        <w:tc>
          <w:tcPr>
            <w:tcW w:type="dxa" w:w="7776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 w:val="0"/>
                <w:color w:val="1E293B"/>
                <w:sz w:val="20"/>
              </w:rPr>
            </w:r>
            <w:r>
              <w:rPr>
                <w:rFonts w:ascii="Segoe UI" w:hAnsi="Segoe UI" w:cs="Calibri" w:eastAsia="Calibri"/>
                <w:b w:val="0"/>
                <w:i w:val="0"/>
                <w:color w:val="1E293B"/>
                <w:sz w:val="20"/>
              </w:rPr>
              <w:t>09/01/2025</w:t>
            </w:r>
          </w:p>
        </w:tc>
      </w:tr>
      <w:tr>
        <w:tc>
          <w:tcPr>
            <w:tcW w:type="dxa" w:w="1584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0F4C81"/>
                <w:sz w:val="20"/>
              </w:rPr>
            </w:r>
            <w:r>
              <w:rPr>
                <w:rFonts w:ascii="Segoe UI" w:hAnsi="Segoe UI" w:cs="Calibri" w:eastAsia="Calibri"/>
                <w:b/>
                <w:i w:val="0"/>
                <w:color w:val="0F4C81"/>
                <w:sz w:val="20"/>
              </w:rPr>
              <w:t>From:</w:t>
            </w:r>
          </w:p>
        </w:tc>
        <w:tc>
          <w:tcPr>
            <w:tcW w:type="dxa" w:w="7776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 w:val="0"/>
                <w:color w:val="1E293B"/>
                <w:sz w:val="20"/>
              </w:rPr>
            </w:r>
            <w:r>
              <w:rPr>
                <w:rFonts w:ascii="Segoe UI" w:hAnsi="Segoe UI" w:cs="Calibri" w:eastAsia="Calibri"/>
                <w:b w:val="0"/>
                <w:i w:val="0"/>
                <w:color w:val="1E293B"/>
                <w:sz w:val="20"/>
              </w:rPr>
              <w:t>Sofia Bergen, Director, Client Strategy</w:t>
            </w:r>
          </w:p>
        </w:tc>
      </w:tr>
      <w:tr>
        <w:tc>
          <w:tcPr>
            <w:tcW w:type="dxa" w:w="1584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0F4C81"/>
                <w:sz w:val="20"/>
              </w:rPr>
            </w:r>
            <w:r>
              <w:rPr>
                <w:rFonts w:ascii="Segoe UI" w:hAnsi="Segoe UI" w:cs="Calibri" w:eastAsia="Calibri"/>
                <w:b/>
                <w:i w:val="0"/>
                <w:color w:val="0F4C81"/>
                <w:sz w:val="20"/>
              </w:rPr>
              <w:t>To:</w:t>
            </w:r>
          </w:p>
        </w:tc>
        <w:tc>
          <w:tcPr>
            <w:tcW w:type="dxa" w:w="7776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 w:val="0"/>
                <w:color w:val="1E293B"/>
                <w:sz w:val="20"/>
              </w:rPr>
            </w:r>
            <w:r>
              <w:rPr>
                <w:rFonts w:ascii="Segoe UI" w:hAnsi="Segoe UI" w:cs="Calibri" w:eastAsia="Calibri"/>
                <w:b w:val="0"/>
                <w:i w:val="0"/>
                <w:color w:val="1E293B"/>
                <w:sz w:val="20"/>
              </w:rPr>
              <w:t>Client Services, Legal, Finance</w:t>
            </w:r>
          </w:p>
        </w:tc>
      </w:tr>
      <w:tr>
        <w:tc>
          <w:tcPr>
            <w:tcW w:type="dxa" w:w="1584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0F4C81"/>
                <w:sz w:val="20"/>
              </w:rPr>
            </w:r>
            <w:r>
              <w:rPr>
                <w:rFonts w:ascii="Segoe UI" w:hAnsi="Segoe UI" w:cs="Calibri" w:eastAsia="Calibri"/>
                <w:b/>
                <w:i w:val="0"/>
                <w:color w:val="0F4C81"/>
                <w:sz w:val="20"/>
              </w:rPr>
              <w:t>Re:</w:t>
            </w:r>
          </w:p>
        </w:tc>
        <w:tc>
          <w:tcPr>
            <w:tcW w:type="dxa" w:w="7776"/>
            <w:shd w:fill="F8FAFC"/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0F172A"/>
                <w:sz w:val="21"/>
              </w:rPr>
            </w:r>
            <w:r>
              <w:rPr>
                <w:rFonts w:ascii="Segoe UI" w:hAnsi="Segoe UI" w:cs="Calibri" w:eastAsia="Calibri"/>
                <w:b/>
                <w:i w:val="0"/>
                <w:color w:val="0F172A"/>
                <w:sz w:val="21"/>
              </w:rPr>
              <w:t>Client Services SOP — 24-Month Standard Term (v1)</w:t>
            </w:r>
          </w:p>
        </w:tc>
      </w:tr>
    </w:tbl>
    <w:p>
      <w:pPr>
        <w:spacing w:after="80" w:before="0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</w:r>
    </w:p>
    <w:p>
      <w:pPr>
        <w:spacing w:after="120" w:before="440"/>
      </w:pPr>
      <w:r>
        <w:rPr>
          <w:rFonts w:ascii="Segoe UI" w:hAnsi="Segoe UI" w:cs="Calibri" w:eastAsia="Calibri"/>
          <w:b/>
          <w:i w:val="0"/>
          <w:color w:val="0F4C81"/>
          <w:sz w:val="26"/>
        </w:rPr>
        <w:t>1. Purpose</w:t>
      </w:r>
    </w:p>
    <w:p>
      <w:pPr>
        <w:spacing w:after="240" w:before="0" w:line="300" w:lineRule="auto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  <w:t>This SOP establishes a single, harmonized contract term for all client engagements executed by Thornfield Life Sciences Marketing, Inc. following the acquisition of Bramwell Scientific Marketing, LLC on 9/1/2025. Prior to close, Thornfield and Bramwell operated with different default engagement lengths — Thornfield typically executed 24-month agreements while Bramwell operated on 12-month terms. To eliminate ambiguity across the combined book of business and to align Client Services, Legal, and Finance on a common contracting posture going forward, all forward-facing client engagements will default to a single standard term as defined in Section 2 below.</w:t>
      </w:r>
    </w:p>
    <w:p>
      <w:pPr>
        <w:spacing w:after="120" w:before="400"/>
      </w:pPr>
      <w:r>
        <w:rPr>
          <w:rFonts w:ascii="Segoe UI" w:hAnsi="Segoe UI" w:cs="Calibri" w:eastAsia="Calibri"/>
          <w:b/>
          <w:i w:val="0"/>
          <w:color w:val="0F4C81"/>
          <w:sz w:val="26"/>
        </w:rPr>
        <w:t>2. Standard Term</w:t>
      </w:r>
    </w:p>
    <w:p>
      <w:pPr>
        <w:spacing w:after="200" w:before="120" w:line="300" w:lineRule="auto"/>
        <w:ind w:left="216"/>
        <w:pBdr>
          <w:left w:val="single" w:sz="24" w:space="12" w:color="0F4C81"/>
        </w:pBdr>
        <w:shd w:fill="F1F5F9"/>
      </w:pPr>
      <w:r>
        <w:rPr>
          <w:rFonts w:ascii="Segoe UI" w:hAnsi="Segoe UI" w:cs="Calibri" w:eastAsia="Calibri"/>
          <w:b/>
          <w:i w:val="0"/>
          <w:color w:val="0F172A"/>
          <w:sz w:val="21"/>
        </w:rPr>
        <w:t>All client engagements will default to a 24-month standard term.</w:t>
      </w:r>
    </w:p>
    <w:p>
      <w:pPr>
        <w:spacing w:after="160" w:before="0" w:line="300" w:lineRule="auto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  <w:t>The 24-month standard term applies to Master Services Agreements, Statements of Work, retainer agreements, and any equivalent client-facing engagement instrument executed under Thornfield's contracting authority. Client Services owns the operational default; Legal owns the template language reflecting the term; Finance owns the revenue-recognition and billing configuration in ERPNext consistent with the 24-month standard.</w:t>
      </w:r>
    </w:p>
    <w:p>
      <w:pPr>
        <w:spacing w:after="240" w:before="0" w:line="300" w:lineRule="auto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  <w:t>Deviations from the 24-month standard term require written pre-approval from the Director, Client Strategy and countersignature by the CEO. Deviation requests should be routed through the Client Services engagement intake queue; deviation approvals will be logged in the Client Services Transition Log for audit continuity.</w:t>
      </w:r>
    </w:p>
    <w:p>
      <w:pPr>
        <w:spacing w:after="120" w:before="400"/>
      </w:pPr>
      <w:r>
        <w:rPr>
          <w:rFonts w:ascii="Segoe UI" w:hAnsi="Segoe UI" w:cs="Calibri" w:eastAsia="Calibri"/>
          <w:b/>
          <w:i w:val="0"/>
          <w:color w:val="0F4C81"/>
          <w:sz w:val="26"/>
        </w:rPr>
        <w:t>3. Scope</w:t>
      </w:r>
    </w:p>
    <w:p>
      <w:pPr>
        <w:spacing w:after="160" w:before="0" w:line="300" w:lineRule="auto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  <w:t>This SOP establishes the standard engagement term for all client agreements under Thornfield's contracting authority.</w:t>
      </w:r>
    </w:p>
    <w:p>
      <w:pPr>
        <w:spacing w:after="240" w:before="0" w:line="300" w:lineRule="auto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  <w:t>Client Services owners should confirm each active engagement's expiry date against the Client Services Transition Log and flag any agreement whose expiry falls within the next two quarters so that a renewal conversation can be opened on the 24-month standard.</w:t>
      </w:r>
    </w:p>
    <w:p>
      <w:pPr>
        <w:spacing w:after="120" w:before="400"/>
      </w:pPr>
      <w:r>
        <w:rPr>
          <w:rFonts w:ascii="Segoe UI" w:hAnsi="Segoe UI" w:cs="Calibri" w:eastAsia="Calibri"/>
          <w:b/>
          <w:i w:val="0"/>
          <w:color w:val="0F4C81"/>
          <w:sz w:val="26"/>
        </w:rPr>
        <w:t>4. Effective Date</w:t>
      </w:r>
    </w:p>
    <w:p>
      <w:pPr>
        <w:spacing w:after="480" w:before="0" w:line="300" w:lineRule="auto"/>
      </w:pPr>
      <w:r>
        <w:rPr>
          <w:rFonts w:ascii="Segoe UI" w:hAnsi="Segoe UI" w:cs="Calibri" w:eastAsia="Calibri"/>
          <w:b w:val="0"/>
          <w:i w:val="0"/>
          <w:color w:val="1E293B"/>
          <w:sz w:val="21"/>
        </w:rPr>
        <w:t>09/01/2025 — this SOP is the operative Thornfield company-wide standard for client engagement terms.</w:t>
      </w:r>
    </w:p>
    <w:p>
      <w:pPr>
        <w:spacing w:after="160" w:before="320"/>
      </w:pPr>
      <w:r>
        <w:rPr>
          <w:rFonts w:ascii="Segoe UI" w:hAnsi="Segoe UI" w:cs="Calibri" w:eastAsia="Calibri"/>
          <w:b w:val="0"/>
          <w:i w:val="0"/>
          <w:color w:val="CBD5E1"/>
          <w:sz w:val="18"/>
        </w:rPr>
        <w:t>____________________________________</w:t>
      </w:r>
    </w:p>
    <w:p>
      <w:pPr>
        <w:spacing w:after="240" w:before="80"/>
      </w:pPr>
      <w:r>
        <w:rPr>
          <w:rFonts w:ascii="Segoe UI" w:hAnsi="Segoe UI" w:cs="Calibri" w:eastAsia="Calibri"/>
          <w:b w:val="0"/>
          <w:i w:val="0"/>
          <w:color w:val="64748B"/>
          <w:sz w:val="19"/>
        </w:rPr>
        <w:t>Approved by: Sofia Bergen, Director, Client Strategy        Date: 09/01/2025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