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430D9E" w:rsidRDefault="00430D9E">
      <w:r>
        <w:t>&lt;% var i = 0; %&gt;</w:t>
      </w:r>
    </w:p>
    <w:p w:rsidR="0018789E" w:rsidRDefault="00330B10">
      <w:r>
        <w:t>&lt;% for(i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Найменування озброєння, техніки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Заводський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Завод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Номер паспорта (формуляра)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за док-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Ціна придбання</w:t>
            </w:r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Model.Type %&gt;</w:t>
            </w:r>
            <w:r w:rsidRPr="002D47DB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№&lt;%= Model.Mou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%&gt;&lt;% for(var j = 0; j &lt; tires.Count; j++)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r w:rsidRPr="003C54C5">
              <w:rPr>
                <w:sz w:val="20"/>
              </w:rP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 AppendRow();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Model.GetYear()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Model.</w:t>
            </w:r>
            <w:r w:rsidRPr="002D47DB">
              <w:rPr>
                <w:color w:val="000000"/>
                <w:sz w:val="20"/>
              </w:rPr>
              <w:t>GetMileage()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Має </w:t>
            </w:r>
            <w:r w:rsidRPr="002D47DB">
              <w:rPr>
                <w:sz w:val="20"/>
                <w:u w:val="single"/>
              </w:rPr>
              <w:t>недопрацювання</w:t>
            </w:r>
            <w:r w:rsidRPr="002D47DB">
              <w:rPr>
                <w:sz w:val="20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>&lt;% if (!string.IsNullOrEmpty(Model.</w:t>
      </w:r>
      <w:r w:rsidRPr="002D47DB">
        <w:rPr>
          <w:color w:val="000000"/>
          <w:sz w:val="20"/>
          <w:u w:val="single"/>
        </w:rPr>
        <w:t>GetBatteries()))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Акумуляторні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батареї</w:t>
      </w:r>
      <w:r w:rsidRPr="002D47DB">
        <w:rPr>
          <w:sz w:val="20"/>
          <w:u w:val="single"/>
        </w:rPr>
        <w:t xml:space="preserve"> &lt;%= Model.</w:t>
      </w:r>
      <w:r w:rsidRPr="002D47DB">
        <w:rPr>
          <w:color w:val="000000"/>
          <w:sz w:val="20"/>
          <w:u w:val="single"/>
        </w:rPr>
        <w:t>GetBatteries()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подальшого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використання</w:t>
      </w:r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r w:rsidRPr="002D47DB">
        <w:rPr>
          <w:sz w:val="20"/>
          <w:u w:val="single"/>
          <w:lang w:val="ru-RU"/>
        </w:rPr>
        <w:t>Автомобільні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шини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>&lt;% for(var j = 0; j &lt; tires.Count; j++) { %&gt;</w:t>
      </w:r>
      <w:r w:rsidRPr="002D47DB">
        <w:rPr>
          <w:sz w:val="20"/>
          <w:u w:val="single"/>
        </w:rPr>
        <w:t xml:space="preserve">&lt;%= tires[j].Name %&gt; - &lt;%= tires[j].Quantity %&gt; </w:t>
      </w:r>
      <w:r w:rsidRPr="002D47DB">
        <w:rPr>
          <w:sz w:val="20"/>
          <w:u w:val="single"/>
          <w:lang w:val="ru-RU"/>
        </w:rPr>
        <w:t>шт</w:t>
      </w:r>
      <w:r w:rsidRPr="002D47DB">
        <w:rPr>
          <w:sz w:val="20"/>
          <w:u w:val="single"/>
        </w:rPr>
        <w:t>., &lt;%= tires[j].GetNotes(Model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Model.GetCategory()%&gt;-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категорії</w:t>
      </w:r>
      <w:r w:rsidRPr="002D47DB">
        <w:rPr>
          <w:sz w:val="20"/>
          <w:u w:val="single"/>
        </w:rPr>
        <w:t xml:space="preserve">, </w:t>
      </w:r>
      <w:r w:rsidRPr="002D47DB">
        <w:rPr>
          <w:sz w:val="20"/>
          <w:u w:val="single"/>
          <w:lang w:val="ru-RU"/>
        </w:rPr>
        <w:t>придатні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подальшої</w:t>
      </w:r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експлуатації</w:t>
      </w:r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&lt;%= Model.GetAddons()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Обладнання: &lt;%= Model.</w:t>
      </w:r>
      <w:r w:rsidRPr="002D47DB">
        <w:rPr>
          <w:color w:val="000000"/>
          <w:sz w:val="20"/>
          <w:u w:val="single"/>
        </w:rPr>
        <w:t>GetEquipment()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ЗІП</w:t>
      </w:r>
      <w:r w:rsidR="003A35B1" w:rsidRPr="002D47DB">
        <w:rPr>
          <w:sz w:val="20"/>
          <w:u w:val="single"/>
        </w:rPr>
        <w:t>:</w:t>
      </w:r>
      <w:r w:rsidRPr="002D47DB">
        <w:rPr>
          <w:sz w:val="20"/>
        </w:rPr>
        <w:t>&lt;% var zip = Model.GetZip(true);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r w:rsidR="00CE59C3" w:rsidRPr="002D47DB">
        <w:rPr>
          <w:sz w:val="20"/>
          <w:u w:val="single"/>
        </w:rPr>
        <w:t>if(Model.GetEquipmentCargo</w:t>
      </w:r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>:&lt;% zip = Model.GetEquipmentCargo(true);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F263C1" w:rsidRDefault="00330B10">
      <w:pPr>
        <w:spacing w:before="120" w:after="120"/>
        <w:jc w:val="both"/>
        <w:rPr>
          <w:sz w:val="20"/>
        </w:rPr>
      </w:pPr>
      <w:bookmarkStart w:id="0" w:name="_GoBack"/>
      <w:r w:rsidRPr="00F263C1">
        <w:rPr>
          <w:sz w:val="20"/>
        </w:rPr>
        <w:t>&lt;% for(i = 0; i &lt; aggregates.Count; i++)  { %&gt;</w:t>
      </w:r>
    </w:p>
    <w:p w:rsidR="0018789E" w:rsidRPr="00F263C1" w:rsidRDefault="00330B10">
      <w:pPr>
        <w:spacing w:before="120" w:after="120"/>
        <w:jc w:val="both"/>
        <w:rPr>
          <w:sz w:val="20"/>
        </w:rPr>
      </w:pPr>
      <w:r w:rsidRPr="00F263C1">
        <w:rPr>
          <w:sz w:val="20"/>
        </w:rPr>
        <w:t>&lt;%=  i+1 %&gt;. &lt;%= aggregates[i].Name %&gt;: &lt;%= aggregates[i].GetNotes(Model) %&gt;те</w:t>
      </w:r>
      <w:r w:rsidR="00ED725A" w:rsidRPr="00F263C1">
        <w:rPr>
          <w:sz w:val="20"/>
        </w:rPr>
        <w:t xml:space="preserve">хнічно справний, відноситься до </w:t>
      </w:r>
      <w:r w:rsidRPr="00F263C1">
        <w:rPr>
          <w:sz w:val="20"/>
        </w:rPr>
        <w:t>&lt;%= Model.GetCategory() %&gt;-ї категорії,  – придатно   до подальшої експлуатації.</w:t>
      </w:r>
    </w:p>
    <w:p w:rsidR="00EB2C07" w:rsidRPr="00F263C1" w:rsidRDefault="00330B10" w:rsidP="00EB2C07">
      <w:pPr>
        <w:spacing w:before="120" w:after="120"/>
        <w:jc w:val="both"/>
        <w:rPr>
          <w:sz w:val="20"/>
          <w:lang w:val="ru-RU"/>
        </w:rPr>
      </w:pPr>
      <w:r w:rsidRPr="00F263C1">
        <w:rPr>
          <w:sz w:val="20"/>
          <w:lang w:val="ru-RU"/>
        </w:rPr>
        <w:t>&lt;% } %&gt;</w:t>
      </w:r>
    </w:p>
    <w:bookmarkEnd w:id="0"/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</w:t>
      </w:r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r>
        <w:t>TemplateName</w:t>
      </w:r>
      <w:r w:rsidRPr="000E1BF5">
        <w:rPr>
          <w:lang w:val="ru-RU"/>
        </w:rPr>
        <w:t xml:space="preserve"> %&gt;</w:t>
      </w:r>
      <w:r w:rsidRPr="000E1BF5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r w:rsidR="00187828">
        <w:t>GetCategory</w:t>
      </w:r>
      <w:r w:rsidR="00187828" w:rsidRPr="005E3758">
        <w:rPr>
          <w:lang w:val="ru-RU"/>
        </w:rPr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Передається за фактичним технічним станом та комплектністю.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</w:t>
      </w:r>
      <w:r w:rsidRPr="00F264D5">
        <w:rPr>
          <w:u w:val="single"/>
        </w:rPr>
        <w:t xml:space="preserve"> </w:t>
      </w:r>
      <w:r>
        <w:rPr>
          <w:u w:val="single"/>
        </w:rPr>
        <w:t>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</w:t>
      </w:r>
      <w:r w:rsidRPr="00DA1F91">
        <w:rPr>
          <w:u w:val="single"/>
        </w:rPr>
        <w:t xml:space="preserve"> </w:t>
      </w:r>
      <w:r w:rsidRPr="00760BB2">
        <w:rPr>
          <w:u w:val="single"/>
        </w:rPr>
        <w:t>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140E8B"/>
    <w:rsid w:val="001560FE"/>
    <w:rsid w:val="00187828"/>
    <w:rsid w:val="0018789E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25C9E"/>
    <w:rsid w:val="00F263C1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4431</Words>
  <Characters>2527</Characters>
  <Application>Microsoft Office Word</Application>
  <DocSecurity>0</DocSecurity>
  <Lines>21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55</cp:revision>
  <dcterms:created xsi:type="dcterms:W3CDTF">2022-11-25T09:48:00Z</dcterms:created>
  <dcterms:modified xsi:type="dcterms:W3CDTF">2023-01-04T07:29:00Z</dcterms:modified>
</cp:coreProperties>
</file>