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p>
    <w:p>
      <w:pPr>
        <w:jc w:val="center"/>
      </w:pPr>
      <w:r>
        <w:rPr>
          <w:rFonts w:ascii="Arial" w:cs="Arial" w:eastAsia="Arial" w:hAnsi="Arial"/>
          <w:b/>
          <w:bCs/>
          <w:caps/>
          <w:color w:val="F0A500"/>
          <w:sz w:val="20"/>
          <w:szCs w:val="20"/>
        </w:rPr>
        <w:t xml:space="preserve">NEW BUSINESS APPLICATION</w:t>
      </w:r>
    </w:p>
    <w:p>
      <w:pPr>
        <w:spacing w:after="0" w:before="80"/>
      </w:pPr>
    </w:p>
    <w:p>
      <w:pPr>
        <w:pBdr>
          <w:bottom w:val="single" w:color="1B3A6B" w:sz="24" w:space="1"/>
        </w:pBdr>
        <w:jc w:val="center"/>
      </w:pPr>
    </w:p>
    <w:p>
      <w:pPr>
        <w:spacing w:after="0" w:before="200"/>
      </w:pPr>
    </w:p>
    <w:p>
      <w:pPr>
        <w:jc w:val="center"/>
      </w:pPr>
      <w:r>
        <w:rPr>
          <w:rFonts w:ascii="Arial" w:cs="Arial" w:eastAsia="Arial" w:hAnsi="Arial"/>
          <w:b/>
          <w:bCs/>
          <w:color w:val="1B3A6B"/>
          <w:sz w:val="52"/>
          <w:szCs w:val="52"/>
        </w:rPr>
        <w:t xml:space="preserve">COMMERCIAL PROPERTY</w:t>
      </w:r>
    </w:p>
    <w:p>
      <w:pPr>
        <w:jc w:val="center"/>
      </w:pPr>
      <w:r>
        <w:rPr>
          <w:rFonts w:ascii="Arial" w:cs="Arial" w:eastAsia="Arial" w:hAnsi="Arial"/>
          <w:b/>
          <w:bCs/>
          <w:color w:val="2E5B99"/>
          <w:sz w:val="44"/>
          <w:szCs w:val="44"/>
        </w:rPr>
        <w:t xml:space="preserve">INSURANCE APPLICATION</w:t>
      </w:r>
    </w:p>
    <w:p>
      <w:pPr>
        <w:spacing w:after="0" w:before="80"/>
      </w:pPr>
    </w:p>
    <w:p>
      <w:pPr>
        <w:pBdr>
          <w:top w:val="single" w:color="F0A500" w:sz="12" w:space="1"/>
        </w:pBdr>
        <w:jc w:val="center"/>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B3A6B" w:val="clear"/>
            <w:tcMar>
              <w:top w:type="dxa" w:w="80"/>
              <w:left w:type="dxa" w:w="240"/>
              <w:bottom w:type="dxa" w:w="80"/>
              <w:right w:type="dxa" w:w="240"/>
            </w:tcMar>
          </w:tcPr>
          <w:p>
            <w:pPr>
              <w:jc w:val="center"/>
            </w:pPr>
            <w:r>
              <w:rPr>
                <w:rFonts w:ascii="Arial" w:cs="Arial" w:eastAsia="Arial" w:hAnsi="Arial"/>
                <w:b/>
                <w:bCs/>
                <w:caps/>
                <w:color w:val="F0A500"/>
                <w:sz w:val="16"/>
                <w:szCs w:val="16"/>
              </w:rPr>
              <w:t xml:space="preserve">POLICY NUMBER</w:t>
            </w:r>
          </w:p>
          <w:p>
            <w:pPr>
              <w:jc w:val="center"/>
            </w:pPr>
            <w:r>
              <w:rPr>
                <w:rFonts w:ascii="Arial" w:cs="Arial" w:eastAsia="Arial" w:hAnsi="Arial"/>
                <w:b/>
                <w:bCs/>
                <w:color w:val="FFFFFF"/>
                <w:sz w:val="36"/>
                <w:szCs w:val="36"/>
              </w:rPr>
              <w:t xml:space="preserve">POL-2025-001234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E5B99" w:val="clear"/>
            <w:tcMar>
              <w:top w:type="dxa" w:w="100"/>
              <w:left w:type="dxa" w:w="120"/>
              <w:bottom w:type="dxa" w:w="100"/>
              <w:right w:type="dxa" w:w="120"/>
            </w:tcMar>
          </w:tcPr>
          <w:p>
            <w:pPr>
              <w:jc w:val="center"/>
            </w:pPr>
            <w:r>
              <w:rPr>
                <w:rFonts w:ascii="Arial" w:cs="Arial" w:eastAsia="Arial" w:hAnsi="Arial"/>
                <w:b/>
                <w:bCs/>
                <w:caps/>
                <w:color w:val="F0A500"/>
                <w:sz w:val="16"/>
                <w:szCs w:val="16"/>
              </w:rPr>
              <w:t xml:space="preserve">PROPERTY TYPE</w:t>
            </w:r>
          </w:p>
          <w:p>
            <w:pPr>
              <w:jc w:val="center"/>
            </w:pPr>
            <w:r>
              <w:rPr>
                <w:rFonts w:ascii="Arial" w:cs="Arial" w:eastAsia="Arial" w:hAnsi="Arial"/>
                <w:b/>
                <w:bCs/>
                <w:color w:val="FFFFFF"/>
                <w:sz w:val="24"/>
                <w:szCs w:val="24"/>
              </w:rPr>
              <w:t xml:space="preserve">Commercial</w:t>
            </w:r>
          </w:p>
        </w:tc>
        <w:tc>
          <w:tcPr>
            <w:tcW w:type="dxa" w:w="312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aps/>
                <w:color w:val="F0A500"/>
                <w:sz w:val="16"/>
                <w:szCs w:val="16"/>
              </w:rPr>
              <w:t xml:space="preserve">CONSTRUCTION</w:t>
            </w:r>
          </w:p>
          <w:p>
            <w:pPr>
              <w:jc w:val="center"/>
            </w:pPr>
            <w:r>
              <w:rPr>
                <w:rFonts w:ascii="Arial" w:cs="Arial" w:eastAsia="Arial" w:hAnsi="Arial"/>
                <w:b/>
                <w:bCs/>
                <w:color w:val="FFFFFF"/>
                <w:sz w:val="24"/>
                <w:szCs w:val="24"/>
              </w:rPr>
              <w:t xml:space="preserve">Fire Resistive</w:t>
            </w:r>
          </w:p>
        </w:tc>
        <w:tc>
          <w:tcPr>
            <w:tcW w:type="dxa" w:w="3120"/>
            <w:tcBorders>
              <w:top w:val="single" w:color="CCCCCC" w:sz="4"/>
              <w:left w:val="single" w:color="CCCCCC" w:sz="4"/>
              <w:bottom w:val="single" w:color="CCCCCC" w:sz="4"/>
              <w:right w:val="single" w:color="CCCCCC" w:sz="4"/>
            </w:tcBorders>
            <w:shd w:fill="2E5B99" w:val="clear"/>
            <w:tcMar>
              <w:top w:type="dxa" w:w="100"/>
              <w:left w:type="dxa" w:w="120"/>
              <w:bottom w:type="dxa" w:w="100"/>
              <w:right w:type="dxa" w:w="120"/>
            </w:tcMar>
          </w:tcPr>
          <w:p>
            <w:pPr>
              <w:jc w:val="center"/>
            </w:pPr>
            <w:r>
              <w:rPr>
                <w:rFonts w:ascii="Arial" w:cs="Arial" w:eastAsia="Arial" w:hAnsi="Arial"/>
                <w:b/>
                <w:bCs/>
                <w:caps/>
                <w:color w:val="F0A500"/>
                <w:sz w:val="16"/>
                <w:szCs w:val="16"/>
              </w:rPr>
              <w:t xml:space="preserve">YEAR BUILT</w:t>
            </w:r>
          </w:p>
          <w:p>
            <w:pPr>
              <w:jc w:val="center"/>
            </w:pPr>
            <w:r>
              <w:rPr>
                <w:rFonts w:ascii="Arial" w:cs="Arial" w:eastAsia="Arial" w:hAnsi="Arial"/>
                <w:b/>
                <w:bCs/>
                <w:color w:val="FFFFFF"/>
                <w:sz w:val="24"/>
                <w:szCs w:val="24"/>
              </w:rPr>
              <w:t xml:space="preserve">2005</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B3A6B" w:val="clear"/>
            <w:tcMar>
              <w:top w:type="dxa" w:w="160"/>
              <w:left w:type="dxa" w:w="240"/>
              <w:bottom w:type="dxa" w:w="160"/>
              <w:right w:type="dxa" w:w="240"/>
            </w:tcMar>
          </w:tcPr>
          <w:p>
            <w:pPr>
              <w:jc w:val="center"/>
            </w:pPr>
            <w:r>
              <w:rPr>
                <w:rFonts w:ascii="Arial" w:cs="Arial" w:eastAsia="Arial" w:hAnsi="Arial"/>
                <w:b/>
                <w:bCs/>
                <w:caps/>
                <w:color w:val="F0A500"/>
                <w:sz w:val="16"/>
                <w:szCs w:val="16"/>
              </w:rPr>
              <w:t xml:space="preserve">NAMED INSURED</w:t>
            </w:r>
          </w:p>
          <w:p>
            <w:pPr>
              <w:jc w:val="center"/>
            </w:pPr>
            <w:r>
              <w:rPr>
                <w:rFonts w:ascii="Arial" w:cs="Arial" w:eastAsia="Arial" w:hAnsi="Arial"/>
                <w:b/>
                <w:bCs/>
                <w:color w:val="FFFFFF"/>
                <w:sz w:val="30"/>
                <w:szCs w:val="30"/>
              </w:rPr>
              <w:t xml:space="preserve">Acme Global Industries Ltd</w:t>
            </w:r>
          </w:p>
          <w:p>
            <w:pPr>
              <w:jc w:val="center"/>
            </w:pPr>
            <w:r>
              <w:rPr>
                <w:rFonts w:ascii="Arial" w:cs="Arial" w:eastAsia="Arial" w:hAnsi="Arial"/>
                <w:color w:val="ADD8E6"/>
                <w:sz w:val="18"/>
                <w:szCs w:val="18"/>
              </w:rPr>
              <w:t xml:space="preserve">1200 Commerce Blvd, Suite 400, Dallas, TX 75201</w:t>
            </w:r>
          </w:p>
          <w:p>
            <w:pPr>
              <w:jc w:val="center"/>
            </w:pPr>
            <w:r>
              <w:rPr>
                <w:rFonts w:ascii="Arial" w:cs="Arial" w:eastAsia="Arial" w:hAnsi="Arial"/>
                <w:color w:val="ADD8E6"/>
                <w:sz w:val="18"/>
                <w:szCs w:val="18"/>
              </w:rPr>
              <w:t xml:space="preserve">Tel: (214) 555-0173  |  r.mercer@acmeglobalindustries.com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Inception Date: </w:t>
            </w:r>
            <w:r>
              <w:rPr>
                <w:rFonts w:ascii="Arial" w:cs="Arial" w:eastAsia="Arial" w:hAnsi="Arial"/>
                <w:color w:val="444444"/>
                <w:sz w:val="18"/>
                <w:szCs w:val="18"/>
              </w:rPr>
              <w:t xml:space="preserve">April 1, 2025</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b/>
                <w:bCs/>
                <w:color w:val="1B3A6B"/>
                <w:sz w:val="18"/>
                <w:szCs w:val="18"/>
              </w:rPr>
              <w:t xml:space="preserve">Renewal Date: </w:t>
            </w:r>
            <w:r>
              <w:rPr>
                <w:rFonts w:ascii="Arial" w:cs="Arial" w:eastAsia="Arial" w:hAnsi="Arial"/>
                <w:color w:val="444444"/>
                <w:sz w:val="18"/>
                <w:szCs w:val="18"/>
              </w:rPr>
              <w:t xml:space="preserve">April 1, 2026</w:t>
            </w:r>
          </w:p>
        </w:tc>
      </w:tr>
    </w:tbl>
    <w:p>
      <w:pPr>
        <w:sectPr>
          <w:pgSz w:w="12240" w:h="15840" w:orient="portrait"/>
          <w:pgMar w:top="1440" w:right="1440" w:bottom="1440" w:left="1440" w:header="708" w:footer="708" w:gutter="0"/>
          <w:pgNumType/>
          <w:docGrid w:linePitch="360"/>
        </w:sectPr>
      </w:pPr>
    </w:p>
    <w:p>
      <w:pPr>
        <w:pStyle w:val="Heading1"/>
        <w:spacing w:after="80" w:before="320"/>
      </w:pPr>
      <w:r>
        <w:rPr>
          <w:rFonts w:ascii="Arial" w:cs="Arial" w:eastAsia="Arial" w:hAnsi="Arial"/>
          <w:b/>
          <w:bCs/>
          <w:color w:val="1B3A6B"/>
          <w:sz w:val="28"/>
          <w:szCs w:val="28"/>
        </w:rPr>
        <w:t xml:space="preserve">SECTION 1: APPLICANT &amp; POLICY INFORMATION</w:t>
      </w:r>
    </w:p>
    <w:p>
      <w:pPr>
        <w:pBdr>
          <w:bottom w:val="single" w:color="1B3A6B" w:sz="12" w:space="1"/>
        </w:pBdr>
        <w:spacing w:after="1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0A500"/>
                <w:sz w:val="15"/>
                <w:szCs w:val="15"/>
              </w:rPr>
              <w:t xml:space="preserve">POLICY NUMBER</w:t>
            </w:r>
          </w:p>
          <w:p>
            <w:pPr>
              <w:jc w:val="center"/>
            </w:pPr>
            <w:r>
              <w:rPr>
                <w:rFonts w:ascii="Arial" w:cs="Arial" w:eastAsia="Arial" w:hAnsi="Arial"/>
                <w:b/>
                <w:bCs/>
                <w:color w:val="FFFFFF"/>
                <w:sz w:val="20"/>
                <w:szCs w:val="20"/>
              </w:rPr>
              <w:t xml:space="preserve">POL-2025-001234</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0A500"/>
                <w:sz w:val="15"/>
                <w:szCs w:val="15"/>
              </w:rPr>
              <w:t xml:space="preserve">SIC CODE</w:t>
            </w:r>
          </w:p>
          <w:p>
            <w:pPr>
              <w:jc w:val="center"/>
            </w:pPr>
            <w:r>
              <w:rPr>
                <w:rFonts w:ascii="Arial" w:cs="Arial" w:eastAsia="Arial" w:hAnsi="Arial"/>
                <w:b/>
                <w:bCs/>
                <w:color w:val="FFFFFF"/>
                <w:sz w:val="20"/>
                <w:szCs w:val="20"/>
              </w:rPr>
              <w:t xml:space="preserve">6512</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0A500"/>
                <w:sz w:val="15"/>
                <w:szCs w:val="15"/>
              </w:rPr>
              <w:t xml:space="preserve">INCEPTION</w:t>
            </w:r>
          </w:p>
          <w:p>
            <w:pPr>
              <w:jc w:val="center"/>
            </w:pPr>
            <w:r>
              <w:rPr>
                <w:rFonts w:ascii="Arial" w:cs="Arial" w:eastAsia="Arial" w:hAnsi="Arial"/>
                <w:b/>
                <w:bCs/>
                <w:color w:val="FFFFFF"/>
                <w:sz w:val="20"/>
                <w:szCs w:val="20"/>
              </w:rPr>
              <w:t xml:space="preserve">April 1, 2025</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0A500"/>
                <w:sz w:val="15"/>
                <w:szCs w:val="15"/>
              </w:rPr>
              <w:t xml:space="preserve">RENEWAL</w:t>
            </w:r>
          </w:p>
          <w:p>
            <w:pPr>
              <w:jc w:val="center"/>
            </w:pPr>
            <w:r>
              <w:rPr>
                <w:rFonts w:ascii="Arial" w:cs="Arial" w:eastAsia="Arial" w:hAnsi="Arial"/>
                <w:b/>
                <w:bCs/>
                <w:color w:val="FFFFFF"/>
                <w:sz w:val="20"/>
                <w:szCs w:val="20"/>
              </w:rPr>
              <w:t xml:space="preserve">April 1, 2026</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400"/>
        <w:gridCol w:w="1880"/>
      </w:tblGrid>
      <w:t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28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c>
          <w:tcPr>
            <w:tcW w:type="dxa" w:w="1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8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Details</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Legal Name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Acme Global Industries Ltd</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Entity Type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Corporation (C-Corp)</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Policy Number</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POL-2025-001234</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SIC Code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6512</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Insured Address</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1200 Commerce Blvd, Suite 400, Dallas, TX 75201</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State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Texas</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Property Type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Commercial</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Occupancy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Office</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Construction Type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Year Built</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2005</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Inception Date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April 1, 2025</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Renewal Date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April 1, 2026</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Primary Contact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Mr. Robert H. Mercer, CFO</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Phone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(214) 555-0173</w:t>
            </w:r>
          </w:p>
        </w:tc>
      </w:tr>
      <w:tr>
        <w:tc>
          <w:tcPr>
            <w:tcW w:type="dxa" w:w="2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Email</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r.mercer@acmeglobalindustries.com</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App Ref</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AGL-2025-001234-P</w:t>
            </w:r>
          </w:p>
        </w:tc>
      </w:tr>
    </w:tbl>
    <w:p>
      <w:pPr>
        <w:spacing w:after="0" w:before="160"/>
      </w:pPr>
    </w:p>
    <w:p>
      <w:pPr>
        <w:pStyle w:val="Heading1"/>
        <w:spacing w:after="80" w:before="320"/>
      </w:pPr>
      <w:r>
        <w:rPr>
          <w:rFonts w:ascii="Arial" w:cs="Arial" w:eastAsia="Arial" w:hAnsi="Arial"/>
          <w:b/>
          <w:bCs/>
          <w:color w:val="1B3A6B"/>
          <w:sz w:val="28"/>
          <w:szCs w:val="28"/>
        </w:rPr>
        <w:t xml:space="preserve">SECTION 2: COMPANY OVERVIEW</w:t>
      </w:r>
    </w:p>
    <w:p>
      <w:pPr>
        <w:pBdr>
          <w:bottom w:val="single" w:color="1B3A6B" w:sz="12" w:space="1"/>
        </w:pBdr>
        <w:spacing w:after="100" w:before="0"/>
      </w:pPr>
    </w:p>
    <w:p>
      <w:pPr>
        <w:spacing w:after="0" w:before="80"/>
      </w:pPr>
    </w:p>
    <w:p>
      <w:pPr>
        <w:spacing w:after="120" w:before="60"/>
      </w:pPr>
      <w:r>
        <w:rPr>
          <w:rFonts w:ascii="Arial" w:cs="Arial" w:eastAsia="Arial" w:hAnsi="Arial"/>
          <w:b w:val="false"/>
          <w:bCs w:val="false"/>
          <w:i w:val="false"/>
          <w:iCs w:val="false"/>
          <w:color w:val="444444"/>
          <w:sz w:val="20"/>
          <w:szCs w:val="20"/>
        </w:rPr>
        <w:t xml:space="preserve">Acme Global Industries Ltd is a diversified commercial real estate and industrial operations company headquartered at 1200 Commerce Blvd, Suite 400, Dallas, TX 75201. Established in 1998, the company has operated for over 27 years and has built a strong portfolio of commercial office, industrial, and mixed-use properties across Texas and the broader Sunbelt region.</w:t>
      </w:r>
    </w:p>
    <w:p>
      <w:pPr>
        <w:spacing w:after="120" w:before="60"/>
      </w:pPr>
      <w:r>
        <w:rPr>
          <w:rFonts w:ascii="Arial" w:cs="Arial" w:eastAsia="Arial" w:hAnsi="Arial"/>
          <w:b w:val="false"/>
          <w:bCs w:val="false"/>
          <w:i w:val="false"/>
          <w:iCs w:val="false"/>
          <w:color w:val="444444"/>
          <w:sz w:val="20"/>
          <w:szCs w:val="20"/>
        </w:rPr>
        <w:t xml:space="preserve">The company's primary occupancy type is Office, with properties classified under SIC Code 6512 (Operators of Commercial Properties). All buildings are constructed to Fire Resistive standards, reflecting the company's commitment to structural integrity and risk mitigation. The flagship property at 1200 Commerce Blvd was built in 2005 and serves as both the corporate headquarters and a multi-tenant commercial office complex.</w:t>
      </w:r>
    </w:p>
    <w:p>
      <w:pPr>
        <w:spacing w:after="0" w:before="80"/>
      </w:pPr>
    </w:p>
    <w:p>
      <w:pPr>
        <w:pStyle w:val="Heading2"/>
        <w:spacing w:after="60" w:before="200"/>
      </w:pPr>
      <w:r>
        <w:rPr>
          <w:rFonts w:ascii="Arial" w:cs="Arial" w:eastAsia="Arial" w:hAnsi="Arial"/>
          <w:b/>
          <w:bCs/>
          <w:color w:val="2E5B99"/>
          <w:sz w:val="22"/>
          <w:szCs w:val="22"/>
        </w:rPr>
        <w:t xml:space="preserve">Financial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312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FY 2023</w:t>
            </w:r>
          </w:p>
        </w:tc>
        <w:tc>
          <w:tcPr>
            <w:tcW w:type="dxa" w:w="312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FY 2024 (Est.)</w:t>
            </w:r>
          </w:p>
        </w:tc>
      </w:tr>
      <w:tr>
        <w:tc>
          <w:tcPr>
            <w:tcW w:type="dxa" w:w="312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Total Revenue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$22.8 Million</w:t>
            </w:r>
          </w:p>
        </w:tc>
        <w:tc>
          <w:tcPr>
            <w:tcW w:type="dxa" w:w="312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$26.4 Million</w:t>
            </w:r>
          </w:p>
        </w:tc>
      </w:tr>
      <w:tr>
        <w:tc>
          <w:tcPr>
            <w:tcW w:type="dxa" w:w="312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Total Insured Value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$136,000,000</w:t>
            </w:r>
          </w:p>
        </w:tc>
        <w:tc>
          <w:tcPr>
            <w:tcW w:type="dxa" w:w="312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$148,500,000</w:t>
            </w:r>
          </w:p>
        </w:tc>
      </w:tr>
      <w:tr>
        <w:tc>
          <w:tcPr>
            <w:tcW w:type="dxa" w:w="312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Net Operating Income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$8.4 Million</w:t>
            </w:r>
          </w:p>
        </w:tc>
        <w:tc>
          <w:tcPr>
            <w:tcW w:type="dxa" w:w="312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$9.7 Million</w:t>
            </w:r>
          </w:p>
        </w:tc>
      </w:tr>
      <w:tr>
        <w:tc>
          <w:tcPr>
            <w:tcW w:type="dxa" w:w="312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Properties Managed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11 Properties</w:t>
            </w:r>
          </w:p>
        </w:tc>
        <w:tc>
          <w:tcPr>
            <w:tcW w:type="dxa" w:w="312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13 Properties</w:t>
            </w:r>
          </w:p>
        </w:tc>
      </w:tr>
      <w:tr>
        <w:tc>
          <w:tcPr>
            <w:tcW w:type="dxa" w:w="312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Full-Time Employees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142</w:t>
            </w:r>
          </w:p>
        </w:tc>
        <w:tc>
          <w:tcPr>
            <w:tcW w:type="dxa" w:w="312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158 (Projected)</w:t>
            </w:r>
          </w:p>
        </w:tc>
      </w:tr>
    </w:tbl>
    <w:p>
      <w:pPr>
        <w:sectPr>
          <w:headerReference w:type="default" r:id="rId7"/>
          <w:footerReference w:type="default" r:id="rId8"/>
          <w:pgSz w:w="12240" w:h="15840" w:orient="portrait"/>
          <w:pgMar w:top="1080" w:right="1440" w:bottom="1080" w:left="1440" w:header="708" w:footer="708" w:gutter="0"/>
          <w:pgNumType/>
          <w:docGrid w:linePitch="360"/>
        </w:sectPr>
      </w:pPr>
    </w:p>
    <w:p>
      <w:pPr>
        <w:pStyle w:val="Heading1"/>
        <w:spacing w:after="80" w:before="320"/>
      </w:pPr>
      <w:r>
        <w:rPr>
          <w:rFonts w:ascii="Arial" w:cs="Arial" w:eastAsia="Arial" w:hAnsi="Arial"/>
          <w:b/>
          <w:bCs/>
          <w:color w:val="1B3A6B"/>
          <w:sz w:val="28"/>
          <w:szCs w:val="28"/>
        </w:rPr>
        <w:t xml:space="preserve">SECTION 3: PRIMARY BUSINESS OPERATIONS</w:t>
      </w:r>
    </w:p>
    <w:p>
      <w:pPr>
        <w:pBdr>
          <w:bottom w:val="single" w:color="1B3A6B" w:sz="12" w:space="1"/>
        </w:pBdr>
        <w:spacing w:after="100" w:before="0"/>
      </w:pPr>
    </w:p>
    <w:p>
      <w:pPr>
        <w:spacing w:after="0" w:before="80"/>
      </w:pPr>
    </w:p>
    <w:p>
      <w:pPr>
        <w:spacing w:after="120" w:before="60"/>
      </w:pPr>
      <w:r>
        <w:rPr>
          <w:rFonts w:ascii="Arial" w:cs="Arial" w:eastAsia="Arial" w:hAnsi="Arial"/>
          <w:b w:val="false"/>
          <w:bCs w:val="false"/>
          <w:i w:val="false"/>
          <w:iCs w:val="false"/>
          <w:color w:val="444444"/>
          <w:sz w:val="20"/>
          <w:szCs w:val="20"/>
        </w:rPr>
        <w:t xml:space="preserve">Acme Global Industries operates primarily as a commercial office building operator and owner (SIC 6512). The company's primary asset base consists of Fire Resistive constructed office buildings, predominantly built between 2000 and 2015, catering to corporate tenants in the professional services, technology, and energy sectors — consistent with the Dallas-Fort Worth market profile.</w:t>
      </w:r>
    </w:p>
    <w:p>
      <w:pPr>
        <w:spacing w:after="0" w:before="80"/>
      </w:pPr>
    </w:p>
    <w:p>
      <w:pPr>
        <w:pStyle w:val="Heading2"/>
        <w:spacing w:after="60" w:before="200"/>
      </w:pPr>
      <w:r>
        <w:rPr>
          <w:rFonts w:ascii="Arial" w:cs="Arial" w:eastAsia="Arial" w:hAnsi="Arial"/>
          <w:b/>
          <w:bCs/>
          <w:color w:val="2E5B99"/>
          <w:sz w:val="22"/>
          <w:szCs w:val="22"/>
        </w:rPr>
        <w:t xml:space="preserve">3.1  Commercial Office Operations</w:t>
      </w:r>
    </w:p>
    <w:p>
      <w:pPr>
        <w:spacing w:after="120" w:before="60"/>
      </w:pPr>
      <w:r>
        <w:rPr>
          <w:rFonts w:ascii="Arial" w:cs="Arial" w:eastAsia="Arial" w:hAnsi="Arial"/>
          <w:b w:val="false"/>
          <w:bCs w:val="false"/>
          <w:i w:val="false"/>
          <w:iCs w:val="false"/>
          <w:color w:val="444444"/>
          <w:sz w:val="20"/>
          <w:szCs w:val="20"/>
        </w:rPr>
        <w:t xml:space="preserve">The flagship property at 1200 Commerce Blvd (Year Built: 2005, Construction: Fire Resistive, Occupancy: Office) is a Class-B+ multi-tenant office complex with approximately 185,000 square feet of leasable area. The building operates at 89% occupancy and serves 14 active tenants including regional law firms, a mid-size technology company, and a healthcare consulting group.</w:t>
      </w:r>
    </w:p>
    <w:p>
      <w:pPr>
        <w:pStyle w:val="Heading2"/>
        <w:spacing w:after="60" w:before="200"/>
      </w:pPr>
      <w:r>
        <w:rPr>
          <w:rFonts w:ascii="Arial" w:cs="Arial" w:eastAsia="Arial" w:hAnsi="Arial"/>
          <w:b/>
          <w:bCs/>
          <w:color w:val="2E5B99"/>
          <w:sz w:val="22"/>
          <w:szCs w:val="22"/>
        </w:rPr>
        <w:t xml:space="preserve">3.2  Industrial Support Facilities</w:t>
      </w:r>
    </w:p>
    <w:p>
      <w:pPr>
        <w:spacing w:after="120" w:before="60"/>
      </w:pPr>
      <w:r>
        <w:rPr>
          <w:rFonts w:ascii="Arial" w:cs="Arial" w:eastAsia="Arial" w:hAnsi="Arial"/>
          <w:b w:val="false"/>
          <w:bCs w:val="false"/>
          <w:i w:val="false"/>
          <w:iCs w:val="false"/>
          <w:color w:val="444444"/>
          <w:sz w:val="20"/>
          <w:szCs w:val="20"/>
        </w:rPr>
        <w:t xml:space="preserve">Acme operates 4 light industrial and warehousing support facilities across the Dallas-Fort Worth metro. These properties, all Fire Resistive construction, support the logistics and storage needs of the company's office tenants and third-party clients. Combined leasable area across industrial properties is approximately 420,000 square feet.</w:t>
      </w:r>
    </w:p>
    <w:p>
      <w:pPr>
        <w:pStyle w:val="Heading2"/>
        <w:spacing w:after="60" w:before="200"/>
      </w:pPr>
      <w:r>
        <w:rPr>
          <w:rFonts w:ascii="Arial" w:cs="Arial" w:eastAsia="Arial" w:hAnsi="Arial"/>
          <w:b/>
          <w:bCs/>
          <w:color w:val="2E5B99"/>
          <w:sz w:val="22"/>
          <w:szCs w:val="22"/>
        </w:rPr>
        <w:t xml:space="preserve">3.3  Retail &amp; Mixed-Use Holdings</w:t>
      </w:r>
    </w:p>
    <w:p>
      <w:pPr>
        <w:spacing w:after="120" w:before="60"/>
      </w:pPr>
      <w:r>
        <w:rPr>
          <w:rFonts w:ascii="Arial" w:cs="Arial" w:eastAsia="Arial" w:hAnsi="Arial"/>
          <w:b w:val="false"/>
          <w:bCs w:val="false"/>
          <w:i w:val="false"/>
          <w:iCs w:val="false"/>
          <w:color w:val="444444"/>
          <w:sz w:val="20"/>
          <w:szCs w:val="20"/>
        </w:rPr>
        <w:t xml:space="preserve">Three neighborhood retail centers in Plano, Irving, and Frisco round out the portfolio. All retail properties are Commercial classification, with Fire Resistive construction and an average year built of 2008. Combined GLA is approximately 95,000 square feet at 86% average occupancy.</w:t>
      </w:r>
    </w:p>
    <w:p>
      <w:pPr>
        <w:spacing w:after="0" w:before="80"/>
      </w:pPr>
    </w:p>
    <w:p>
      <w:pPr>
        <w:pStyle w:val="Heading1"/>
        <w:spacing w:after="80" w:before="320"/>
      </w:pPr>
      <w:r>
        <w:rPr>
          <w:rFonts w:ascii="Arial" w:cs="Arial" w:eastAsia="Arial" w:hAnsi="Arial"/>
          <w:b/>
          <w:bCs/>
          <w:color w:val="1B3A6B"/>
          <w:sz w:val="28"/>
          <w:szCs w:val="28"/>
        </w:rPr>
        <w:t xml:space="preserve">SECTION 4: PROPERTY SCHEDULE</w:t>
      </w:r>
    </w:p>
    <w:p>
      <w:pPr>
        <w:pBdr>
          <w:bottom w:val="single" w:color="1B3A6B" w:sz="12" w:space="1"/>
        </w:pBdr>
        <w:spacing w:after="1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900"/>
        <w:gridCol w:w="1400"/>
        <w:gridCol w:w="960"/>
        <w:gridCol w:w="1200"/>
      </w:tblGrid>
      <w:tr>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Location</w:t>
            </w:r>
          </w:p>
        </w:tc>
        <w:tc>
          <w:tcPr>
            <w:tcW w:type="dxa" w:w="1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Yr. Built</w:t>
            </w:r>
          </w:p>
        </w:tc>
        <w:tc>
          <w:tcPr>
            <w:tcW w:type="dxa" w:w="9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Sq. Ft.</w:t>
            </w:r>
          </w:p>
        </w:tc>
        <w:tc>
          <w:tcPr>
            <w:tcW w:type="dxa" w:w="1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Construction</w:t>
            </w:r>
          </w:p>
        </w:tc>
        <w:tc>
          <w:tcPr>
            <w:tcW w:type="dxa" w:w="9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Occ.</w:t>
            </w:r>
          </w:p>
        </w:tc>
        <w:tc>
          <w:tcPr>
            <w:tcW w:type="dxa" w:w="1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Repl. 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1200 Commerce Blvd
Dallas, TX 75201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Commercial Office (HQ)</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185,000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Office</w:t>
            </w:r>
          </w:p>
        </w:tc>
        <w:tc>
          <w:tcPr>
            <w:tcW w:type="dxa" w:w="120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$48,200,000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4400 Industrial Loop
Garland, TX 75042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Light Industrial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2008</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210,000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Warehouse</w:t>
            </w:r>
          </w:p>
        </w:tc>
        <w:tc>
          <w:tcPr>
            <w:tcW w:type="dxa" w:w="120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$29,400,000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600 Plano Pkwy
Plano, TX 75074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Retail Center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2010</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42,000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Retail</w:t>
            </w:r>
          </w:p>
        </w:tc>
        <w:tc>
          <w:tcPr>
            <w:tcW w:type="dxa" w:w="120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$18,700,000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9100 Valley Ranch
Irving, TX 75063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Commercial Office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96,000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Office</w:t>
            </w:r>
          </w:p>
        </w:tc>
        <w:tc>
          <w:tcPr>
            <w:tcW w:type="dxa" w:w="120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$24,900,000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2200 Preston Rd
Frisco, TX 75034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Mixed-Use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2014</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68,000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Fire Resistive</w:t>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Office/Retail</w:t>
            </w:r>
          </w:p>
        </w:tc>
        <w:tc>
          <w:tcPr>
            <w:tcW w:type="dxa" w:w="120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$27,300,000</w:t>
            </w:r>
          </w:p>
        </w:tc>
      </w:tr>
      <w:tr>
        <w:tc>
          <w:tcPr>
            <w:tcW w:type="dxa" w:w="20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TOTAL</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5 Properties</w:t>
            </w:r>
          </w:p>
        </w:tc>
        <w:tc>
          <w:tcPr>
            <w:tcW w:type="dxa" w:w="9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w:t>
            </w:r>
          </w:p>
        </w:tc>
        <w:tc>
          <w:tcPr>
            <w:tcW w:type="dxa" w:w="9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601,000 SF</w:t>
            </w:r>
          </w:p>
        </w:tc>
        <w:tc>
          <w:tcPr>
            <w:tcW w:type="dxa" w:w="1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All Fire Resistive</w:t>
            </w:r>
          </w:p>
        </w:tc>
        <w:tc>
          <w:tcPr>
            <w:tcW w:type="dxa" w:w="96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Mixed</w:t>
            </w:r>
          </w:p>
        </w:tc>
        <w:tc>
          <w:tcPr>
            <w:tcW w:type="dxa" w:w="12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$148,500,000</w:t>
            </w:r>
          </w:p>
        </w:tc>
      </w:tr>
    </w:tbl>
    <w:p>
      <w:pPr>
        <w:sectPr>
          <w:headerReference w:type="default" r:id="rId9"/>
          <w:footerReference w:type="default" r:id="rId10"/>
          <w:pgSz w:w="12240" w:h="15840" w:orient="portrait"/>
          <w:pgMar w:top="1080" w:right="1440" w:bottom="1080" w:left="1440" w:header="708" w:footer="708" w:gutter="0"/>
          <w:pgNumType/>
          <w:docGrid w:linePitch="360"/>
        </w:sectPr>
      </w:pPr>
    </w:p>
    <w:p>
      <w:pPr>
        <w:pStyle w:val="Heading1"/>
        <w:spacing w:after="80" w:before="320"/>
      </w:pPr>
      <w:r>
        <w:rPr>
          <w:rFonts w:ascii="Arial" w:cs="Arial" w:eastAsia="Arial" w:hAnsi="Arial"/>
          <w:b/>
          <w:bCs/>
          <w:color w:val="1B3A6B"/>
          <w:sz w:val="28"/>
          <w:szCs w:val="28"/>
        </w:rPr>
        <w:t xml:space="preserve">SECTION 5: RISK PROFILE &amp; LOSS HISTORY</w:t>
      </w:r>
    </w:p>
    <w:p>
      <w:pPr>
        <w:pBdr>
          <w:bottom w:val="single" w:color="1B3A6B" w:sz="12" w:space="1"/>
        </w:pBdr>
        <w:spacing w:after="100" w:before="0"/>
      </w:pPr>
    </w:p>
    <w:p>
      <w:pPr>
        <w:spacing w:after="0" w:before="80"/>
      </w:pPr>
    </w:p>
    <w:p>
      <w:pPr>
        <w:spacing w:after="120" w:before="60"/>
      </w:pPr>
      <w:r>
        <w:rPr>
          <w:rFonts w:ascii="Arial" w:cs="Arial" w:eastAsia="Arial" w:hAnsi="Arial"/>
          <w:b w:val="false"/>
          <w:bCs w:val="false"/>
          <w:i w:val="false"/>
          <w:iCs w:val="false"/>
          <w:color w:val="444444"/>
          <w:sz w:val="20"/>
          <w:szCs w:val="20"/>
        </w:rPr>
        <w:t xml:space="preserve">All Acme Global Industries properties are constructed to Fire Resistive standards, which represents the highest construction classification for commercial property underwriting purposes. This substantially reduces the fire-related risk profile across the entire portfolio. The company maintains a proactive risk management program with the following safeguards in place at all locations:</w:t>
      </w:r>
    </w:p>
    <w:p>
      <w:pPr>
        <w:pStyle w:val="ListParagraph"/>
        <w:numPr>
          <w:ilvl w:val="0"/>
          <w:numId w:val="2"/>
        </w:numPr>
        <w:spacing w:after="40" w:before="40"/>
      </w:pPr>
      <w:r>
        <w:rPr>
          <w:rFonts w:ascii="Arial" w:cs="Arial" w:eastAsia="Arial" w:hAnsi="Arial"/>
          <w:color w:val="444444"/>
          <w:sz w:val="20"/>
          <w:szCs w:val="20"/>
        </w:rPr>
        <w:t xml:space="preserve">100% Fire Resistive construction — all 5 properties (ISO Class 1)</w:t>
      </w:r>
    </w:p>
    <w:p>
      <w:pPr>
        <w:pStyle w:val="ListParagraph"/>
        <w:numPr>
          <w:ilvl w:val="0"/>
          <w:numId w:val="2"/>
        </w:numPr>
        <w:spacing w:after="40" w:before="40"/>
      </w:pPr>
      <w:r>
        <w:rPr>
          <w:rFonts w:ascii="Arial" w:cs="Arial" w:eastAsia="Arial" w:hAnsi="Arial"/>
          <w:color w:val="444444"/>
          <w:sz w:val="20"/>
          <w:szCs w:val="20"/>
        </w:rPr>
        <w:t xml:space="preserve">Automatic wet-pipe sprinkler systems (NFPA 13 compliant) at all locations</w:t>
      </w:r>
    </w:p>
    <w:p>
      <w:pPr>
        <w:pStyle w:val="ListParagraph"/>
        <w:numPr>
          <w:ilvl w:val="0"/>
          <w:numId w:val="2"/>
        </w:numPr>
        <w:spacing w:after="40" w:before="40"/>
      </w:pPr>
      <w:r>
        <w:rPr>
          <w:rFonts w:ascii="Arial" w:cs="Arial" w:eastAsia="Arial" w:hAnsi="Arial"/>
          <w:color w:val="444444"/>
          <w:sz w:val="20"/>
          <w:szCs w:val="20"/>
        </w:rPr>
        <w:t xml:space="preserve">UL-listed central station fire and intrusion alarm monitoring — 24/7</w:t>
      </w:r>
    </w:p>
    <w:p>
      <w:pPr>
        <w:pStyle w:val="ListParagraph"/>
        <w:numPr>
          <w:ilvl w:val="0"/>
          <w:numId w:val="2"/>
        </w:numPr>
        <w:spacing w:after="40" w:before="40"/>
      </w:pPr>
      <w:r>
        <w:rPr>
          <w:rFonts w:ascii="Arial" w:cs="Arial" w:eastAsia="Arial" w:hAnsi="Arial"/>
          <w:color w:val="444444"/>
          <w:sz w:val="20"/>
          <w:szCs w:val="20"/>
        </w:rPr>
        <w:t xml:space="preserve">Annual building inspections by licensed commercial property inspectors</w:t>
      </w:r>
    </w:p>
    <w:p>
      <w:pPr>
        <w:pStyle w:val="ListParagraph"/>
        <w:numPr>
          <w:ilvl w:val="0"/>
          <w:numId w:val="2"/>
        </w:numPr>
        <w:spacing w:after="40" w:before="40"/>
      </w:pPr>
      <w:r>
        <w:rPr>
          <w:rFonts w:ascii="Arial" w:cs="Arial" w:eastAsia="Arial" w:hAnsi="Arial"/>
          <w:color w:val="444444"/>
          <w:sz w:val="20"/>
          <w:szCs w:val="20"/>
        </w:rPr>
        <w:t xml:space="preserve">Dedicated Property Manager overseeing all 5 Dallas-area locations</w:t>
      </w:r>
    </w:p>
    <w:p>
      <w:pPr>
        <w:pStyle w:val="ListParagraph"/>
        <w:numPr>
          <w:ilvl w:val="0"/>
          <w:numId w:val="2"/>
        </w:numPr>
        <w:spacing w:after="40" w:before="40"/>
      </w:pPr>
      <w:r>
        <w:rPr>
          <w:rFonts w:ascii="Arial" w:cs="Arial" w:eastAsia="Arial" w:hAnsi="Arial"/>
          <w:color w:val="444444"/>
          <w:sz w:val="20"/>
          <w:szCs w:val="20"/>
        </w:rPr>
        <w:t xml:space="preserve">All tenant leases require minimum $1M General Liability coverage</w:t>
      </w:r>
    </w:p>
    <w:p>
      <w:pPr>
        <w:spacing w:after="0" w:before="100"/>
      </w:pPr>
    </w:p>
    <w:p>
      <w:pPr>
        <w:pStyle w:val="Heading2"/>
        <w:spacing w:after="60" w:before="200"/>
      </w:pPr>
      <w:r>
        <w:rPr>
          <w:rFonts w:ascii="Arial" w:cs="Arial" w:eastAsia="Arial" w:hAnsi="Arial"/>
          <w:b/>
          <w:bCs/>
          <w:color w:val="2E5B99"/>
          <w:sz w:val="22"/>
          <w:szCs w:val="22"/>
        </w:rPr>
        <w:t xml:space="preserve">5-Year Loss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1200"/>
        <w:gridCol w:w="1500"/>
        <w:gridCol w:w="1460"/>
      </w:tblGrid>
      <w:tr>
        <w:tc>
          <w:tcPr>
            <w:tcW w:type="dxa" w:w="1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Year</w:t>
            </w:r>
          </w:p>
        </w:tc>
        <w:tc>
          <w:tcPr>
            <w:tcW w:type="dxa" w:w="2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Location</w:t>
            </w:r>
          </w:p>
        </w:tc>
        <w:tc>
          <w:tcPr>
            <w:tcW w:type="dxa" w:w="1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Cause</w:t>
            </w:r>
          </w:p>
        </w:tc>
        <w:tc>
          <w:tcPr>
            <w:tcW w:type="dxa" w:w="1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Gross Loss</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Paid</w:t>
            </w:r>
          </w:p>
        </w:tc>
        <w:tc>
          <w:tcPr>
            <w:tcW w:type="dxa" w:w="14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2022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600 Plano Pkwy, Plano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Roof Wind Damage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$18,400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$18,400</w:t>
            </w:r>
          </w:p>
        </w:tc>
        <w:tc>
          <w:tcPr>
            <w:tcW w:type="dxa" w:w="14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Closed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1200 Commerce Blvd, Dallas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HVAC Water Intrusion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$9,700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$9,700</w:t>
            </w:r>
          </w:p>
        </w:tc>
        <w:tc>
          <w:tcPr>
            <w:tcW w:type="dxa" w:w="14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Closed</w:t>
            </w:r>
          </w:p>
        </w:tc>
      </w:tr>
      <w:tr>
        <w:tc>
          <w:tcPr>
            <w:tcW w:type="dxa" w:w="10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Total</w:t>
            </w:r>
          </w:p>
        </w:tc>
        <w:tc>
          <w:tcPr>
            <w:tcW w:type="dxa" w:w="2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2 Claims / 5 Years</w:t>
            </w:r>
          </w:p>
        </w:tc>
        <w:tc>
          <w:tcPr>
            <w:tcW w:type="dxa" w:w="18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No Pattern of Loss</w:t>
            </w:r>
          </w:p>
        </w:tc>
        <w:tc>
          <w:tcPr>
            <w:tcW w:type="dxa" w:w="12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$28,100</w:t>
            </w:r>
          </w:p>
        </w:tc>
        <w:tc>
          <w:tcPr>
            <w:tcW w:type="dxa" w:w="15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$28,100 Paid</w:t>
            </w:r>
          </w:p>
        </w:tc>
        <w:tc>
          <w:tcPr>
            <w:tcW w:type="dxa" w:w="146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All Closed</w:t>
            </w:r>
          </w:p>
        </w:tc>
      </w:tr>
    </w:tbl>
    <w:p>
      <w:pPr>
        <w:spacing w:after="0" w:before="80"/>
      </w:pPr>
    </w:p>
    <w:p>
      <w:pPr>
        <w:spacing w:after="120" w:before="60"/>
      </w:pPr>
      <w:r>
        <w:rPr>
          <w:rFonts w:ascii="Arial" w:cs="Arial" w:eastAsia="Arial" w:hAnsi="Arial"/>
          <w:b w:val="false"/>
          <w:bCs w:val="false"/>
          <w:i/>
          <w:iCs/>
          <w:color w:val="666666"/>
          <w:sz w:val="20"/>
          <w:szCs w:val="20"/>
        </w:rPr>
        <w:t xml:space="preserve">No open or pending claims. No losses involving bodily injury or environmental peril. No non-renewals or cancellations by prior carrier.</w:t>
      </w:r>
    </w:p>
    <w:p>
      <w:pPr>
        <w:spacing w:after="0" w:before="120"/>
      </w:pPr>
    </w:p>
    <w:p>
      <w:pPr>
        <w:pStyle w:val="Heading1"/>
        <w:spacing w:after="80" w:before="320"/>
      </w:pPr>
      <w:r>
        <w:rPr>
          <w:rFonts w:ascii="Arial" w:cs="Arial" w:eastAsia="Arial" w:hAnsi="Arial"/>
          <w:b/>
          <w:bCs/>
          <w:color w:val="1B3A6B"/>
          <w:sz w:val="28"/>
          <w:szCs w:val="28"/>
        </w:rPr>
        <w:t xml:space="preserve">SECTION 6: COVERAGE REQUESTED</w:t>
      </w:r>
    </w:p>
    <w:p>
      <w:pPr>
        <w:pBdr>
          <w:bottom w:val="single" w:color="1B3A6B" w:sz="12" w:space="1"/>
        </w:pBdr>
        <w:spacing w:after="100" w:before="0"/>
      </w:pPr>
    </w:p>
    <w:p>
      <w:pPr>
        <w:spacing w:after="0" w:before="80"/>
      </w:pPr>
    </w:p>
    <w:p>
      <w:pPr>
        <w:spacing w:after="120" w:before="60"/>
      </w:pPr>
      <w:r>
        <w:rPr>
          <w:rFonts w:ascii="Arial" w:cs="Arial" w:eastAsia="Arial" w:hAnsi="Arial"/>
          <w:b w:val="false"/>
          <w:bCs w:val="false"/>
          <w:i w:val="false"/>
          <w:iCs w:val="false"/>
          <w:color w:val="444444"/>
          <w:sz w:val="20"/>
          <w:szCs w:val="20"/>
        </w:rPr>
        <w:t xml:space="preserve">Coverage requested for policy period April 1, 2025 to April 1, 2026 (Renewal). Policy Number: POL-2025-001234.</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Coverage Line</w:t>
            </w:r>
          </w:p>
        </w:tc>
        <w:tc>
          <w:tcPr>
            <w:tcW w:type="dxa" w:w="3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Requested Limit</w:t>
            </w:r>
          </w:p>
        </w:tc>
        <w:tc>
          <w:tcPr>
            <w:tcW w:type="dxa" w:w="29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Deductible</w:t>
            </w:r>
          </w:p>
        </w:tc>
      </w:tr>
      <w:tr>
        <w:tc>
          <w:tcPr>
            <w:tcW w:type="dxa" w:w="3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Building — All Risk (Blanket)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$148,500,000</w:t>
            </w:r>
          </w:p>
        </w:tc>
        <w:tc>
          <w:tcPr>
            <w:tcW w:type="dxa" w:w="29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$25,000 Per Occurrence</w:t>
            </w:r>
          </w:p>
        </w:tc>
      </w:tr>
      <w:tr>
        <w:tc>
          <w:tcPr>
            <w:tcW w:type="dxa" w:w="3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Business Personal Property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$4,200,000</w:t>
            </w:r>
          </w:p>
        </w:tc>
        <w:tc>
          <w:tcPr>
            <w:tcW w:type="dxa" w:w="29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$10,000 Per Occurrence</w:t>
            </w:r>
          </w:p>
        </w:tc>
      </w:tr>
      <w:tr>
        <w:tc>
          <w:tcPr>
            <w:tcW w:type="dxa" w:w="3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Business Income / Extra Expense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$6,500,000 (12-Month AOL)</w:t>
            </w:r>
          </w:p>
        </w:tc>
        <w:tc>
          <w:tcPr>
            <w:tcW w:type="dxa" w:w="29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72-Hour Waiting Period</w:t>
            </w:r>
          </w:p>
        </w:tc>
      </w:tr>
      <w:tr>
        <w:tc>
          <w:tcPr>
            <w:tcW w:type="dxa" w:w="3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Equipment Breakdown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$2,000,000</w:t>
            </w:r>
          </w:p>
        </w:tc>
        <w:tc>
          <w:tcPr>
            <w:tcW w:type="dxa" w:w="29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$5,000 Per Occurrence</w:t>
            </w:r>
          </w:p>
        </w:tc>
      </w:tr>
      <w:tr>
        <w:tc>
          <w:tcPr>
            <w:tcW w:type="dxa" w:w="3400"/>
            <w:tcBorders>
              <w:top w:val="single" w:color="CCCCCC" w:sz="4"/>
              <w:left w:val="single" w:color="CCCCCC" w:sz="4"/>
              <w:bottom w:val="single" w:color="CCCCCC" w:sz="4"/>
              <w:right w:val="single" w:color="CCCCCC" w:sz="4"/>
            </w:tcBorders>
            <w:shd w:fill="E8F2FB" w:val="clear"/>
            <w:tcMar>
              <w:top w:type="dxa" w:w="80"/>
              <w:left w:type="dxa" w:w="140"/>
              <w:bottom w:type="dxa" w:w="80"/>
              <w:right w:type="dxa" w:w="140"/>
            </w:tcMar>
          </w:tcPr>
          <w:p>
            <w:r>
              <w:rPr>
                <w:rFonts w:ascii="Arial" w:cs="Arial" w:eastAsia="Arial" w:hAnsi="Arial"/>
                <w:b/>
                <w:bCs/>
                <w:color w:val="1B3A6B"/>
                <w:sz w:val="18"/>
                <w:szCs w:val="18"/>
              </w:rPr>
              <w:t xml:space="preserve">Flood — Non-NFIP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8"/>
                <w:szCs w:val="18"/>
              </w:rPr>
              <w:t xml:space="preserve">$10,000,000 Per Location</w:t>
            </w:r>
          </w:p>
        </w:tc>
        <w:tc>
          <w:tcPr>
            <w:tcW w:type="dxa" w:w="2960"/>
            <w:tcBorders>
              <w:top w:val="single" w:color="CCCCCC" w:sz="4"/>
              <w:left w:val="single" w:color="CCCCCC" w:sz="4"/>
              <w:bottom w:val="single" w:color="CCCCCC" w:sz="4"/>
              <w:right w:val="single" w:color="CCCCCC" w:sz="4"/>
            </w:tcBorders>
            <w:shd w:fill="EEF5FB" w:val="clear"/>
            <w:tcMar>
              <w:top w:type="dxa" w:w="80"/>
              <w:left w:type="dxa" w:w="140"/>
              <w:bottom w:type="dxa" w:w="80"/>
              <w:right w:type="dxa" w:w="140"/>
            </w:tcMar>
          </w:tcPr>
          <w:p>
            <w:r>
              <w:rPr>
                <w:rFonts w:ascii="Arial" w:cs="Arial" w:eastAsia="Arial" w:hAnsi="Arial"/>
                <w:color w:val="444444"/>
                <w:sz w:val="18"/>
                <w:szCs w:val="18"/>
              </w:rPr>
              <w:t xml:space="preserve">$50,000 Per Occurrence</w:t>
            </w:r>
          </w:p>
        </w:tc>
      </w:tr>
    </w:tbl>
    <w:p>
      <w:pPr>
        <w:sectPr>
          <w:headerReference w:type="default" r:id="rId11"/>
          <w:footerReference w:type="default" r:id="rId12"/>
          <w:pgSz w:w="12240" w:h="15840" w:orient="portrait"/>
          <w:pgMar w:top="1080" w:right="1440" w:bottom="1080" w:left="1440" w:header="708" w:footer="708" w:gutter="0"/>
          <w:pgNumType/>
          <w:docGrid w:linePitch="360"/>
        </w:sectPr>
      </w:pPr>
    </w:p>
    <w:p>
      <w:pPr>
        <w:pStyle w:val="Heading1"/>
        <w:spacing w:after="80" w:before="320"/>
      </w:pPr>
      <w:r>
        <w:rPr>
          <w:rFonts w:ascii="Arial" w:cs="Arial" w:eastAsia="Arial" w:hAnsi="Arial"/>
          <w:b/>
          <w:bCs/>
          <w:color w:val="1B3A6B"/>
          <w:sz w:val="28"/>
          <w:szCs w:val="28"/>
        </w:rPr>
        <w:t xml:space="preserve">SECTION 7: DECLARATIONS &amp; SIGNATURE</w:t>
      </w:r>
    </w:p>
    <w:p>
      <w:pPr>
        <w:pBdr>
          <w:bottom w:val="single" w:color="1B3A6B" w:sz="12" w:space="1"/>
        </w:pBdr>
        <w:spacing w:after="100" w:before="0"/>
      </w:pPr>
    </w:p>
    <w:p>
      <w:pPr>
        <w:spacing w:after="0" w:before="80"/>
      </w:pPr>
    </w:p>
    <w:p>
      <w:pPr>
        <w:spacing w:after="120" w:before="60"/>
      </w:pPr>
      <w:r>
        <w:rPr>
          <w:rFonts w:ascii="Arial" w:cs="Arial" w:eastAsia="Arial" w:hAnsi="Arial"/>
          <w:b w:val="false"/>
          <w:bCs w:val="false"/>
          <w:i w:val="false"/>
          <w:iCs w:val="false"/>
          <w:color w:val="444444"/>
          <w:sz w:val="20"/>
          <w:szCs w:val="20"/>
        </w:rPr>
        <w:t xml:space="preserve">The undersigned, being duly authorized on behalf of Acme Global Industries Ltd, hereby certifies that all information provided in this application (Policy No. POL-2025-001234, Application Ref: AGL-2025-001234-P) is true, accurate, and complete to the best of their knowledge, as of the application date.</w:t>
      </w:r>
    </w:p>
    <w:p>
      <w:pPr>
        <w:spacing w:after="0" w:before="60"/>
      </w:pPr>
    </w:p>
    <w:p>
      <w:pPr>
        <w:pStyle w:val="ListParagraph"/>
        <w:numPr>
          <w:ilvl w:val="0"/>
          <w:numId w:val="2"/>
        </w:numPr>
        <w:spacing w:after="40" w:before="40"/>
      </w:pPr>
      <w:r>
        <w:rPr>
          <w:rFonts w:ascii="Arial" w:cs="Arial" w:eastAsia="Arial" w:hAnsi="Arial"/>
          <w:color w:val="444444"/>
          <w:sz w:val="20"/>
          <w:szCs w:val="20"/>
        </w:rPr>
        <w:t xml:space="preserve">All property details including Construction Type (Fire Resistive), Occupancy (Office), and Year Built (2005) are accurately represented.</w:t>
      </w:r>
    </w:p>
    <w:p>
      <w:pPr>
        <w:pStyle w:val="ListParagraph"/>
        <w:numPr>
          <w:ilvl w:val="0"/>
          <w:numId w:val="2"/>
        </w:numPr>
        <w:spacing w:after="40" w:before="40"/>
      </w:pPr>
      <w:r>
        <w:rPr>
          <w:rFonts w:ascii="Arial" w:cs="Arial" w:eastAsia="Arial" w:hAnsi="Arial"/>
          <w:color w:val="444444"/>
          <w:sz w:val="20"/>
          <w:szCs w:val="20"/>
        </w:rPr>
        <w:t xml:space="preserve">SIC Code 6512 correctly describes the primary operations of the insured.</w:t>
      </w:r>
    </w:p>
    <w:p>
      <w:pPr>
        <w:pStyle w:val="ListParagraph"/>
        <w:numPr>
          <w:ilvl w:val="0"/>
          <w:numId w:val="2"/>
        </w:numPr>
        <w:spacing w:after="40" w:before="40"/>
      </w:pPr>
      <w:r>
        <w:rPr>
          <w:rFonts w:ascii="Arial" w:cs="Arial" w:eastAsia="Arial" w:hAnsi="Arial"/>
          <w:color w:val="444444"/>
          <w:sz w:val="20"/>
          <w:szCs w:val="20"/>
        </w:rPr>
        <w:t xml:space="preserve">No material facts relevant to this risk have been withheld or misstated.</w:t>
      </w:r>
    </w:p>
    <w:p>
      <w:pPr>
        <w:pStyle w:val="ListParagraph"/>
        <w:numPr>
          <w:ilvl w:val="0"/>
          <w:numId w:val="2"/>
        </w:numPr>
        <w:spacing w:after="40" w:before="40"/>
      </w:pPr>
      <w:r>
        <w:rPr>
          <w:rFonts w:ascii="Arial" w:cs="Arial" w:eastAsia="Arial" w:hAnsi="Arial"/>
          <w:color w:val="444444"/>
          <w:sz w:val="20"/>
          <w:szCs w:val="20"/>
        </w:rPr>
        <w:t xml:space="preserve">The Applicant authorizes inspection of any listed property at any reasonable time.</w:t>
      </w:r>
    </w:p>
    <w:p>
      <w:pPr>
        <w:pStyle w:val="ListParagraph"/>
        <w:numPr>
          <w:ilvl w:val="0"/>
          <w:numId w:val="2"/>
        </w:numPr>
        <w:spacing w:after="40" w:before="40"/>
      </w:pPr>
      <w:r>
        <w:rPr>
          <w:rFonts w:ascii="Arial" w:cs="Arial" w:eastAsia="Arial" w:hAnsi="Arial"/>
          <w:color w:val="444444"/>
          <w:sz w:val="20"/>
          <w:szCs w:val="20"/>
        </w:rPr>
        <w:t xml:space="preserve">Coverage is not bound until formal acceptance by the insurer and policy issuance.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2FB" w:val="clear"/>
            <w:tcMar>
              <w:top w:type="dxa" w:w="120"/>
              <w:left w:type="dxa" w:w="200"/>
              <w:bottom w:type="dxa" w:w="180"/>
              <w:right w:type="dxa" w:w="200"/>
            </w:tcMar>
          </w:tcPr>
          <w:p>
            <w:r>
              <w:rPr>
                <w:rFonts w:ascii="Arial" w:cs="Arial" w:eastAsia="Arial" w:hAnsi="Arial"/>
                <w:b/>
                <w:bCs/>
                <w:color w:val="1B3A6B"/>
                <w:sz w:val="18"/>
                <w:szCs w:val="18"/>
              </w:rPr>
              <w:t xml:space="preserve">Authorized Signature</w:t>
            </w:r>
          </w:p>
          <w:p>
            <w:pPr>
              <w:spacing w:after="0" w:before="240"/>
            </w:pPr>
          </w:p>
          <w:p>
            <w:pPr>
              <w:pBdr>
                <w:bottom w:val="single" w:color="1B3A6B" w:sz="4" w:space="1"/>
              </w:pBdr>
            </w:pPr>
          </w:p>
          <w:p>
            <w:pPr>
              <w:spacing w:after="0" w:before="60"/>
            </w:pPr>
          </w:p>
          <w:p>
            <w:r>
              <w:rPr>
                <w:rFonts w:ascii="Arial" w:cs="Arial" w:eastAsia="Arial" w:hAnsi="Arial"/>
                <w:color w:val="444444"/>
                <w:sz w:val="18"/>
                <w:szCs w:val="18"/>
              </w:rPr>
              <w:t xml:space="preserve">Mr. Robert H. Mercer, CFO</w:t>
            </w:r>
          </w:p>
          <w:p>
            <w:r>
              <w:rPr>
                <w:rFonts w:ascii="Arial" w:cs="Arial" w:eastAsia="Arial" w:hAnsi="Arial"/>
                <w:color w:val="888888"/>
                <w:sz w:val="16"/>
                <w:szCs w:val="16"/>
              </w:rPr>
              <w:t xml:space="preserve">Acme Global Industries Ltd</w:t>
            </w:r>
          </w:p>
        </w:tc>
        <w:tc>
          <w:tcPr>
            <w:tcW w:type="dxa" w:w="4680"/>
            <w:tcBorders>
              <w:top w:val="single" w:color="CCCCCC" w:sz="4"/>
              <w:left w:val="single" w:color="CCCCCC" w:sz="4"/>
              <w:bottom w:val="single" w:color="CCCCCC" w:sz="4"/>
              <w:right w:val="single" w:color="CCCCCC" w:sz="4"/>
            </w:tcBorders>
            <w:shd w:fill="E8F2FB" w:val="clear"/>
            <w:tcMar>
              <w:top w:type="dxa" w:w="120"/>
              <w:left w:type="dxa" w:w="200"/>
              <w:bottom w:type="dxa" w:w="180"/>
              <w:right w:type="dxa" w:w="200"/>
            </w:tcMar>
          </w:tcPr>
          <w:p>
            <w:r>
              <w:rPr>
                <w:rFonts w:ascii="Arial" w:cs="Arial" w:eastAsia="Arial" w:hAnsi="Arial"/>
                <w:b/>
                <w:bCs/>
                <w:color w:val="1B3A6B"/>
                <w:sz w:val="18"/>
                <w:szCs w:val="18"/>
              </w:rPr>
              <w:t xml:space="preserve">Date Signed</w:t>
            </w:r>
          </w:p>
          <w:p>
            <w:pPr>
              <w:spacing w:after="0" w:before="240"/>
            </w:pPr>
          </w:p>
          <w:p>
            <w:pPr>
              <w:pBdr>
                <w:bottom w:val="single" w:color="1B3A6B" w:sz="4" w:space="1"/>
              </w:pBdr>
            </w:pPr>
          </w:p>
          <w:p>
            <w:pPr>
              <w:spacing w:after="0" w:before="60"/>
            </w:pPr>
          </w:p>
          <w:p>
            <w:r>
              <w:rPr>
                <w:rFonts w:ascii="Arial" w:cs="Arial" w:eastAsia="Arial" w:hAnsi="Arial"/>
                <w:color w:val="444444"/>
                <w:sz w:val="18"/>
                <w:szCs w:val="18"/>
              </w:rPr>
              <w:t xml:space="preserve">April 1, 2025</w:t>
            </w:r>
          </w:p>
          <w:p>
            <w:r>
              <w:rPr>
                <w:rFonts w:ascii="Arial" w:cs="Arial" w:eastAsia="Arial" w:hAnsi="Arial"/>
                <w:color w:val="888888"/>
                <w:sz w:val="16"/>
                <w:szCs w:val="16"/>
              </w:rPr>
              <w:t xml:space="preserve">Policy No: POL-2025-001234</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B3A6B" w:val="clear"/>
            <w:tcMar>
              <w:top w:type="dxa" w:w="140"/>
              <w:left w:type="dxa" w:w="240"/>
              <w:bottom w:type="dxa" w:w="140"/>
              <w:right w:type="dxa" w:w="240"/>
            </w:tcMar>
          </w:tcPr>
          <w:p>
            <w:pPr>
              <w:jc w:val="center"/>
            </w:pPr>
            <w:r>
              <w:rPr>
                <w:rFonts w:ascii="Arial" w:cs="Arial" w:eastAsia="Arial" w:hAnsi="Arial"/>
                <w:b/>
                <w:bCs/>
                <w:caps/>
                <w:color w:val="F0A500"/>
                <w:sz w:val="18"/>
                <w:szCs w:val="18"/>
              </w:rPr>
              <w:t xml:space="preserve">BROKER OF RECORD</w:t>
            </w:r>
          </w:p>
          <w:p>
            <w:pPr>
              <w:jc w:val="center"/>
            </w:pPr>
            <w:r>
              <w:rPr>
                <w:rFonts w:ascii="Arial" w:cs="Arial" w:eastAsia="Arial" w:hAnsi="Arial"/>
                <w:color w:val="FFFFFF"/>
                <w:sz w:val="18"/>
                <w:szCs w:val="18"/>
              </w:rPr>
              <w:t xml:space="preserve">Meridian Risk Advisors, LLC  |  200 W. Monroe St., Chicago, IL 60606</w:t>
            </w:r>
          </w:p>
          <w:p>
            <w:pPr>
              <w:jc w:val="center"/>
            </w:pPr>
            <w:r>
              <w:rPr>
                <w:rFonts w:ascii="Arial" w:cs="Arial" w:eastAsia="Arial" w:hAnsi="Arial"/>
                <w:color w:val="ADD8E6"/>
                <w:sz w:val="18"/>
                <w:szCs w:val="18"/>
              </w:rPr>
              <w:t xml:space="preserve">Sarah K. Owens, CPCU, ARM  |  (312) 555-0847  |  s.owens@meridianrisk.com</w:t>
            </w:r>
          </w:p>
        </w:tc>
      </w:tr>
    </w:tbl>
    <w:sectPr>
      <w:headerReference w:type="default" r:id="rId13"/>
      <w:footerReference w:type="default" r:id="rId14"/>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888888"/>
        <w:sz w:val="16"/>
        <w:szCs w:val="16"/>
      </w:rPr>
      <w:t xml:space="preserve">Acme Global Industries Ltd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888888"/>
        <w:sz w:val="16"/>
        <w:szCs w:val="16"/>
      </w:rPr>
      <w:t xml:space="preserve">Acme Global Industries Ltd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888888"/>
        <w:sz w:val="16"/>
        <w:szCs w:val="16"/>
      </w:rPr>
      <w:t xml:space="preserve">Acme Global Industries Ltd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888888"/>
        <w:sz w:val="16"/>
        <w:szCs w:val="16"/>
      </w:rPr>
      <w:t xml:space="preserve">Acme Global Industries Ltd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pPr>
    <w:r>
      <w:rPr>
        <w:rFonts w:ascii="Arial" w:cs="Arial" w:eastAsia="Arial" w:hAnsi="Arial"/>
        <w:b/>
        <w:bCs/>
        <w:color w:val="1B3A6B"/>
        <w:sz w:val="16"/>
        <w:szCs w:val="16"/>
      </w:rPr>
      <w:t xml:space="preserve">ACME GLOBAL INDUSTRIES LTD  |  COMMERCIAL PROPERTY INSURANCE APPLICATION  |  POL-2025-001234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pPr>
    <w:r>
      <w:rPr>
        <w:rFonts w:ascii="Arial" w:cs="Arial" w:eastAsia="Arial" w:hAnsi="Arial"/>
        <w:b/>
        <w:bCs/>
        <w:color w:val="1B3A6B"/>
        <w:sz w:val="16"/>
        <w:szCs w:val="16"/>
      </w:rPr>
      <w:t xml:space="preserve">ACME GLOBAL INDUSTRIES LTD  |  COMMERCIAL PROPERTY INSURANCE APPLICATION  |  POL-2025-001234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pPr>
    <w:r>
      <w:rPr>
        <w:rFonts w:ascii="Arial" w:cs="Arial" w:eastAsia="Arial" w:hAnsi="Arial"/>
        <w:b/>
        <w:bCs/>
        <w:color w:val="1B3A6B"/>
        <w:sz w:val="16"/>
        <w:szCs w:val="16"/>
      </w:rPr>
      <w:t xml:space="preserve">ACME GLOBAL INDUSTRIES LTD  |  COMMERCIAL PROPERTY INSURANCE APPLICATION  |  POL-2025-001234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pPr>
    <w:r>
      <w:rPr>
        <w:rFonts w:ascii="Arial" w:cs="Arial" w:eastAsia="Arial" w:hAnsi="Arial"/>
        <w:b/>
        <w:bCs/>
        <w:color w:val="1B3A6B"/>
        <w:sz w:val="16"/>
        <w:szCs w:val="16"/>
      </w:rPr>
      <w:t xml:space="preserve">ACME GLOBAL INDUSTRIES LTD  |  COMMERCIAL PROPERTY INSURANCE APPLICATION  |  POL-2025-001234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5B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2026-04-01T04:33:33.970Z</dcterms:created>
  <dcterms:modified xsi:type="dcterms:W3CDTF">2026-04-01T04:33:33.970Z</dcterms:modified>
</cp:coreProperties>
</file>

<file path=docProps/custom.xml><?xml version="1.0" encoding="utf-8"?>
<Properties xmlns="http://schemas.openxmlformats.org/officeDocument/2006/custom-properties" xmlns:vt="http://schemas.openxmlformats.org/officeDocument/2006/docPropsVTypes"/>
</file>