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A7317" w:sz="16" w:space="5"/>
        </w:pBdr>
        <w:spacing w:after="50" w:before="60"/>
      </w:pPr>
      <w:r>
        <w:rPr>
          <w:b/>
          <w:bCs/>
          <w:color w:val="C2480A"/>
          <w:sz w:val="30"/>
          <w:szCs w:val="30"/>
        </w:rPr>
        <w:t xml:space="preserve">EXL – BRIT SharePoint Upload: API Integration Guide</w:t>
      </w:r>
    </w:p>
    <w:p>
      <w:pPr>
        <w:spacing w:after="140"/>
      </w:pPr>
      <w:r>
        <w:rPr>
          <w:i/>
          <w:iCs/>
          <w:color w:val="6B5A4E"/>
          <w:sz w:val="19"/>
          <w:szCs w:val="19"/>
        </w:rPr>
        <w:t xml:space="preserve">System-to-system integration  •  App-only Microsoft Graph API  •  BRIT-owned, least-privilege, revocable</w:t>
      </w:r>
    </w:p>
    <w:p>
      <w:pPr>
        <w:spacing w:after="110" w:line="256"/>
      </w:pPr>
      <w:r>
        <w:rPr>
          <w:b/>
          <w:bCs/>
          <w:sz w:val="20"/>
          <w:szCs w:val="20"/>
        </w:rPr>
        <w:t xml:space="preserve">Overview. </w:t>
      </w:r>
      <w:r>
        <w:rPr>
          <w:sz w:val="20"/>
          <w:szCs w:val="20"/>
        </w:rPr>
        <w:t xml:space="preserve">EXL uploads deliverables into one designated SharePoint document library in BRIT’s Microsoft 365 tenant through the Microsoft Graph API. It is a system-to-system integration — no user is signed in at upload time; the process authenticates as an application and runs unattended on a schedule or trigger. BRIT owns the application identity and the access grant, scoped to a single site, and can revoke it at any time.</w:t>
      </w:r>
    </w:p>
    <w:p>
      <w:pPr>
        <w:pStyle w:val="Heading2"/>
      </w:pPr>
      <w:r>
        <w:t xml:space="preserve">Responsibilities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C2480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BRIT (inside their own tenant)</w:t>
            </w:r>
          </w:p>
        </w:tc>
        <w:tc>
          <w:tcPr>
            <w:tcW w:type="dxa" w:w="468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C2480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EXL (the integrating system)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Owns the app registration, permission, and credential; authorizes the app for one site; can revoke access instantly.</w:t>
            </w:r>
          </w:p>
        </w:tc>
        <w:tc>
          <w:tcPr>
            <w:tcW w:type="dxa" w:w="468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Holds the issued credentials securely and uploads files to the designated library via the Microsoft Graph API.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End-to-end flow</w:t>
      </w:r>
    </w:p>
    <w:p>
      <w:pPr>
        <w:spacing w:after="40" w:before="40"/>
        <w:jc w:val="center"/>
      </w:pPr>
      <w:r>
        <w:drawing>
          <wp:inline distT="0" distB="0" distL="0" distR="0">
            <wp:extent cx="6096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5A4E"/>
          <w:sz w:val="17"/>
          <w:szCs w:val="17"/>
        </w:rPr>
        <w:t xml:space="preserve">Figure 1 — One-time setup by BRIT, then the repeating runtime sequence performed by EXL.</w:t>
      </w:r>
    </w:p>
    <w:p>
      <w:pPr>
        <w:pStyle w:val="Heading2"/>
      </w:pPr>
      <w:r>
        <w:t xml:space="preserve">A. BRIT — one-time configuration (their tenant)</w:t>
      </w:r>
    </w:p>
    <w:p>
      <w:pPr>
        <w:pStyle w:val="ListParagraph"/>
        <w:numPr>
          <w:ilvl w:val="0"/>
          <w:numId w:val="2"/>
        </w:numPr>
        <w:spacing w:after="90" w:line="252"/>
      </w:pPr>
      <w:r>
        <w:rPr>
          <w:b/>
          <w:bCs/>
          <w:sz w:val="20"/>
          <w:szCs w:val="20"/>
        </w:rPr>
        <w:t xml:space="preserve">Register an application</w:t>
      </w:r>
      <w:r>
        <w:rPr>
          <w:sz w:val="20"/>
          <w:szCs w:val="20"/>
        </w:rPr>
        <w:t xml:space="preserve"> in Entra ID (single tenant). Record the Application (client) ID and Directory (tenant) ID.</w:t>
      </w:r>
    </w:p>
    <w:p>
      <w:pPr>
        <w:pStyle w:val="ListParagraph"/>
        <w:numPr>
          <w:ilvl w:val="0"/>
          <w:numId w:val="2"/>
        </w:numPr>
        <w:spacing w:after="90" w:line="252"/>
      </w:pPr>
      <w:r>
        <w:rPr>
          <w:b/>
          <w:bCs/>
          <w:sz w:val="20"/>
          <w:szCs w:val="20"/>
        </w:rPr>
        <w:t xml:space="preserve">Add the API permission</w:t>
      </w:r>
      <w:r>
        <w:rPr>
          <w:sz w:val="20"/>
          <w:szCs w:val="20"/>
        </w:rPr>
        <w:t xml:space="preserve"> — Microsoft Graph application permission </w:t>
      </w:r>
      <w:r>
        <w:rPr>
          <w:i/>
          <w:iCs/>
          <w:color w:val="C2480A"/>
          <w:sz w:val="20"/>
          <w:szCs w:val="20"/>
        </w:rPr>
        <w:t xml:space="preserve">Sites.Selected</w:t>
      </w:r>
      <w:r>
        <w:rPr>
          <w:sz w:val="20"/>
          <w:szCs w:val="20"/>
        </w:rPr>
        <w:t xml:space="preserve"> — and grant tenant consent.</w:t>
      </w:r>
    </w:p>
    <w:p>
      <w:pPr>
        <w:pStyle w:val="ListParagraph"/>
        <w:numPr>
          <w:ilvl w:val="0"/>
          <w:numId w:val="2"/>
        </w:numPr>
        <w:spacing w:after="90" w:line="252"/>
      </w:pPr>
      <w:r>
        <w:rPr>
          <w:b/>
          <w:bCs/>
          <w:sz w:val="20"/>
          <w:szCs w:val="20"/>
        </w:rPr>
        <w:t xml:space="preserve">Create a credential</w:t>
      </w:r>
      <w:r>
        <w:rPr>
          <w:sz w:val="20"/>
          <w:szCs w:val="20"/>
        </w:rPr>
        <w:t xml:space="preserve"> — a client secret or, preferably, a certificate — and set a defined expiry.</w:t>
      </w:r>
    </w:p>
    <w:p>
      <w:pPr>
        <w:pStyle w:val="ListParagraph"/>
        <w:numPr>
          <w:ilvl w:val="0"/>
          <w:numId w:val="2"/>
        </w:numPr>
        <w:spacing w:after="90" w:line="252"/>
      </w:pPr>
      <w:r>
        <w:rPr>
          <w:b/>
          <w:bCs/>
          <w:sz w:val="20"/>
          <w:szCs w:val="20"/>
        </w:rPr>
        <w:t xml:space="preserve">Authorize the app for the one target site</w:t>
      </w:r>
      <w:r>
        <w:rPr>
          <w:sz w:val="20"/>
          <w:szCs w:val="20"/>
        </w:rPr>
        <w:t xml:space="preserve"> with write access. This is a one-time grant; until it is done the app has no access to any content.</w:t>
      </w:r>
    </w:p>
    <w:p>
      <w:pPr>
        <w:pStyle w:val="ListParagraph"/>
        <w:numPr>
          <w:ilvl w:val="0"/>
          <w:numId w:val="2"/>
        </w:numPr>
        <w:spacing w:after="90" w:line="252"/>
      </w:pPr>
      <w:r>
        <w:rPr>
          <w:b/>
          <w:bCs/>
          <w:sz w:val="20"/>
          <w:szCs w:val="20"/>
        </w:rPr>
        <w:t xml:space="preserve">Provide the connection details to EXL</w:t>
      </w:r>
      <w:r>
        <w:rPr>
          <w:sz w:val="20"/>
          <w:szCs w:val="20"/>
        </w:rPr>
        <w:t xml:space="preserve"> through a secure channel, including the Site ID (see checklist below).</w:t>
      </w:r>
    </w:p>
    <w:p>
      <w:pPr>
        <w:pStyle w:val="Heading2"/>
      </w:pPr>
      <w:r>
        <w:t xml:space="preserve">B. EXL — the API integration (each upload)</w:t>
      </w:r>
    </w:p>
    <w:p>
      <w:pPr>
        <w:pStyle w:val="ListParagraph"/>
        <w:numPr>
          <w:ilvl w:val="0"/>
          <w:numId w:val="3"/>
        </w:numPr>
        <w:spacing w:after="90" w:line="252"/>
      </w:pPr>
      <w:r>
        <w:rPr>
          <w:b/>
          <w:bCs/>
          <w:sz w:val="20"/>
          <w:szCs w:val="20"/>
        </w:rPr>
        <w:t xml:space="preserve">Authenticate</w:t>
      </w:r>
      <w:r>
        <w:rPr>
          <w:sz w:val="20"/>
          <w:szCs w:val="20"/>
        </w:rPr>
        <w:t xml:space="preserve"> — request an app-only access token from Microsoft Entra using the client-credentials flow (Tenant ID + Client ID + secret/certificate). The token is valid for about an hour and is cached and reused.</w:t>
      </w:r>
    </w:p>
    <w:p>
      <w:pPr>
        <w:pStyle w:val="ListParagraph"/>
        <w:numPr>
          <w:ilvl w:val="0"/>
          <w:numId w:val="3"/>
        </w:numPr>
        <w:spacing w:after="90" w:line="252"/>
      </w:pPr>
      <w:r>
        <w:rPr>
          <w:b/>
          <w:bCs/>
          <w:sz w:val="20"/>
          <w:szCs w:val="20"/>
        </w:rPr>
        <w:t xml:space="preserve">Address the destination</w:t>
      </w:r>
      <w:r>
        <w:rPr>
          <w:sz w:val="20"/>
          <w:szCs w:val="20"/>
        </w:rPr>
        <w:t xml:space="preserve"> — build the target from the stored Site ID, document library, folder path, and filename. No lookup is required at runtime.</w:t>
      </w:r>
    </w:p>
    <w:p>
      <w:pPr>
        <w:pStyle w:val="ListParagraph"/>
        <w:numPr>
          <w:ilvl w:val="0"/>
          <w:numId w:val="3"/>
        </w:numPr>
        <w:spacing w:after="90" w:line="252"/>
      </w:pPr>
      <w:r>
        <w:rPr>
          <w:b/>
          <w:bCs/>
          <w:sz w:val="20"/>
          <w:szCs w:val="20"/>
        </w:rPr>
        <w:t xml:space="preserve">Upload the file</w:t>
      </w:r>
      <w:r>
        <w:rPr>
          <w:sz w:val="20"/>
          <w:szCs w:val="20"/>
        </w:rPr>
        <w:t xml:space="preserve"> with the token attached. Standard files upload in a single request; very large files use a chunked upload session that can resume if interrupted.</w:t>
      </w:r>
    </w:p>
    <w:p>
      <w:pPr>
        <w:pStyle w:val="ListParagraph"/>
        <w:numPr>
          <w:ilvl w:val="0"/>
          <w:numId w:val="3"/>
        </w:numPr>
        <w:spacing w:after="90" w:line="252"/>
      </w:pPr>
      <w:r>
        <w:rPr>
          <w:b/>
          <w:bCs/>
          <w:sz w:val="20"/>
          <w:szCs w:val="20"/>
        </w:rPr>
        <w:t xml:space="preserve">Confirm and log</w:t>
      </w:r>
      <w:r>
        <w:rPr>
          <w:sz w:val="20"/>
          <w:szCs w:val="20"/>
        </w:rPr>
        <w:t xml:space="preserve"> — Graph returns the new file ID and its SharePoint URL. EXL records this and retries with backoff if throttled.</w:t>
      </w:r>
    </w:p>
    <w:p>
      <w:pPr>
        <w:pStyle w:val="Heading2"/>
      </w:pPr>
      <w:r>
        <w:t xml:space="preserve">Sequence of calls</w:t>
      </w:r>
    </w:p>
    <w:p>
      <w:pPr>
        <w:spacing w:after="40" w:before="4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5A4E"/>
          <w:sz w:val="17"/>
          <w:szCs w:val="17"/>
        </w:rPr>
        <w:t xml:space="preserve">Figure 2 — Call sequence between EXL, Microsoft Entra, Microsoft Graph, and BRIT’s SharePoint site.</w:t>
      </w:r>
    </w:p>
    <w:p>
      <w:pPr>
        <w:pStyle w:val="Heading2"/>
      </w:pPr>
      <w:r>
        <w:t xml:space="preserve">Connection details BRIT provides to EXL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C2480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C2480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/ note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Directory (tenant) ID</w:t>
            </w:r>
          </w:p>
        </w:tc>
        <w:tc>
          <w:tcPr>
            <w:tcW w:type="dxa" w:w="624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GUID of BRIT’s tenant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CF2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Application (client) ID</w:t>
            </w:r>
          </w:p>
        </w:tc>
        <w:tc>
          <w:tcPr>
            <w:tcW w:type="dxa" w:w="624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CF2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GUID of the registered app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 secret or certificate</w:t>
            </w:r>
          </w:p>
        </w:tc>
        <w:tc>
          <w:tcPr>
            <w:tcW w:type="dxa" w:w="624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Secret value (shown once) or certificate pairing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CF2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Site ID</w:t>
            </w:r>
          </w:p>
        </w:tc>
        <w:tc>
          <w:tcPr>
            <w:tcW w:type="dxa" w:w="624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CF2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Permanent identifier of the target site (avoids a runtime lookup)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Library / folder</w:t>
            </w:r>
          </w:p>
        </w:tc>
        <w:tc>
          <w:tcPr>
            <w:tcW w:type="dxa" w:w="624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e.g. Documents / Deliverables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CF2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Granted role &amp; overwrite rule</w:t>
            </w:r>
          </w:p>
        </w:tc>
        <w:tc>
          <w:tcPr>
            <w:tcW w:type="dxa" w:w="6240"/>
            <w:tcBorders>
              <w:top w:val="single" w:color="ECD9C9" w:sz="1"/>
              <w:left w:val="single" w:color="ECD9C9" w:sz="1"/>
              <w:bottom w:val="single" w:color="ECD9C9" w:sz="1"/>
              <w:right w:val="single" w:color="ECD9C9" w:sz="1"/>
            </w:tcBorders>
            <w:shd w:fill="FCF2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write (or read,write); replace / rename / fail on duplicates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D9C9" w:sz="4" w:space="4"/>
      </w:pBdr>
      <w:tabs>
        <w:tab w:val="right" w:pos="9720"/>
      </w:tabs>
    </w:pPr>
    <w:r>
      <w:rPr>
        <w:color w:val="6B5A4E"/>
        <w:sz w:val="14"/>
        <w:szCs w:val="14"/>
      </w:rPr>
      <w:t xml:space="preserve">Technical reference</w:t>
    </w:r>
    <w:r>
      <w:rPr>
        <w:color w:val="6B5A4E"/>
        <w:sz w:val="14"/>
        <w:szCs w:val="14"/>
      </w:rPr>
      <w:t xml:space="preserve">	Page </w:t>
    </w:r>
    <w:r>
      <w:rPr>
        <w:color w:val="6B5A4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D9C9" w:sz="4" w:space="4"/>
      </w:pBdr>
    </w:pPr>
    <w:r>
      <w:rPr>
        <w:b/>
        <w:bCs/>
        <w:color w:val="C2480A"/>
        <w:sz w:val="15"/>
        <w:szCs w:val="15"/>
      </w:rPr>
      <w:t xml:space="preserve">EXL</w:t>
    </w:r>
    <w:r>
      <w:rPr>
        <w:color w:val="6B5A4E"/>
        <w:sz w:val="15"/>
        <w:szCs w:val="15"/>
      </w:rPr>
      <w:t xml:space="preserve">   |   BRIT SharePoint Upload — API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EA7317" w:sz="4" w:space="3"/>
      </w:pBdr>
      <w:spacing w:after="95" w:before="200"/>
      <w:outlineLvl w:val="1"/>
    </w:pPr>
    <w:rPr>
      <w:rFonts w:ascii="Arial" w:cs="Arial" w:eastAsia="Arial" w:hAnsi="Arial"/>
      <w:b/>
      <w:bCs/>
      <w:color w:val="C248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b18ae77f681996f8b991fa6689a5d86812f4df.undefined"/><Relationship Id="rId10" Type="http://schemas.openxmlformats.org/officeDocument/2006/relationships/image" Target="media/ca14b4b8aca53389cbdca4542c143bbd36568b54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EXL – BRIT SharePoint Upload: API Integration Guide</dc:title>
  <dc:creator>EXL</dc:creator>
  <cp:lastModifiedBy>Un-named</cp:lastModifiedBy>
  <cp:revision>1</cp:revision>
  <dcterms:created xsi:type="dcterms:W3CDTF">2026-07-14T04:55:01.214Z</dcterms:created>
  <dcterms:modified xsi:type="dcterms:W3CDTF">2026-07-14T04:55:01.214Z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