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2410C" w:sz="24" w:space="0"/>
        </w:pBdr>
        <w:spacing w:after="0" w:before="0"/>
      </w:pPr>
      <w:r>
        <w:rPr>
          <w:sz w:val="4"/>
          <w:szCs w:val="4"/>
        </w:rPr>
        <w:t xml:space="preserve"/>
      </w:r>
    </w:p>
    <w:p>
      <w:pPr>
        <w:spacing w:before="2400"/>
      </w:pPr>
      <w:r>
        <w:t xml:space="preserve"/>
      </w:r>
    </w:p>
    <w:p>
      <w:pPr>
        <w:spacing w:after="200"/>
        <w:jc w:val="center"/>
      </w:pPr>
      <w:r>
        <w:rPr>
          <w:rFonts w:ascii="Calibri" w:cs="Calibri" w:eastAsia="Calibri" w:hAnsi="Calibri"/>
          <w:caps/>
          <w:color w:val="595959"/>
          <w:sz w:val="24"/>
          <w:szCs w:val="24"/>
        </w:rPr>
        <w:t xml:space="preserve">Business Rules Document</w:t>
      </w:r>
    </w:p>
    <w:p>
      <w:pPr>
        <w:spacing w:after="60"/>
        <w:jc w:val="center"/>
      </w:pPr>
      <w:r>
        <w:rPr>
          <w:rFonts w:ascii="Calibri" w:cs="Calibri" w:eastAsia="Calibri" w:hAnsi="Calibri"/>
          <w:b/>
          <w:bCs/>
          <w:color w:val="C2410C"/>
          <w:sz w:val="44"/>
          <w:szCs w:val="44"/>
        </w:rPr>
        <w:t xml:space="preserve">FNOL Field Extraction</w:t>
      </w:r>
    </w:p>
    <w:p>
      <w:pPr>
        <w:spacing w:after="240"/>
        <w:jc w:val="center"/>
      </w:pPr>
      <w:r>
        <w:rPr>
          <w:rFonts w:ascii="Calibri" w:cs="Calibri" w:eastAsia="Calibri" w:hAnsi="Calibri"/>
          <w:i/>
          <w:iCs/>
          <w:color w:val="595959"/>
          <w:sz w:val="24"/>
          <w:szCs w:val="24"/>
        </w:rPr>
        <w:t xml:space="preserve">Allied World  ·  Claim Intake Pipeline</w:t>
      </w:r>
    </w:p>
    <w:p>
      <w:pPr>
        <w:pBdr>
          <w:bottom w:val="single" w:color="EA580C" w:sz="8" w:space="4"/>
        </w:pBdr>
        <w:spacing w:after="720"/>
        <w:jc w:val="center"/>
      </w:pPr>
      <w:r>
        <w:rPr>
          <w:sz w:val="8"/>
          <w:szCs w:val="8"/>
        </w:rP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Prepared for</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Sinn Ogg</w:t>
            </w:r>
          </w:p>
        </w:tc>
      </w:tr>
      <w:tr>
        <w:tc>
          <w:tcPr>
            <w:tcW w:type="dxa" w:w="24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Document Owner</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Claims Intake Project Team</w:t>
            </w:r>
          </w:p>
        </w:tc>
      </w:tr>
      <w:tr>
        <w:tc>
          <w:tcPr>
            <w:tcW w:type="dxa" w:w="24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Version</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15.0 (Working Draft)</w:t>
            </w:r>
          </w:p>
        </w:tc>
      </w:tr>
      <w:tr>
        <w:tc>
          <w:tcPr>
            <w:tcW w:type="dxa" w:w="24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Status</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In Progress — eleven of twenty-two fields documented</w:t>
            </w:r>
          </w:p>
        </w:tc>
      </w:tr>
      <w:tr>
        <w:tc>
          <w:tcPr>
            <w:tcW w:type="dxa" w:w="24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Date</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June 1, 2026</w:t>
            </w:r>
          </w:p>
        </w:tc>
      </w:tr>
    </w:tbl>
    <w:p>
      <w:r>
        <w:br w:type="page"/>
      </w:r>
    </w:p>
    <w:p>
      <w:pPr>
        <w:pStyle w:val="Heading1"/>
        <w:pBdr>
          <w:bottom w:val="single" w:color="EA580C" w:sz="6" w:space="4"/>
        </w:pBdr>
        <w:spacing w:after="160" w:before="400"/>
      </w:pPr>
      <w:r>
        <w:rPr>
          <w:rFonts w:ascii="Calibri" w:cs="Calibri" w:eastAsia="Calibri" w:hAnsi="Calibri"/>
          <w:b/>
          <w:bCs/>
          <w:color w:val="C2410C"/>
          <w:sz w:val="28"/>
          <w:szCs w:val="28"/>
        </w:rPr>
        <w:t xml:space="preserve">1. Purpose</w:t>
      </w:r>
    </w:p>
    <w:p>
      <w:pPr>
        <w:spacing w:after="80" w:before="80"/>
      </w:pPr>
      <w:r>
        <w:rPr>
          <w:rFonts w:ascii="Calibri" w:cs="Calibri" w:eastAsia="Calibri" w:hAnsi="Calibri"/>
          <w:sz w:val="22"/>
          <w:szCs w:val="22"/>
        </w:rPr>
        <w:t xml:space="preserve">This document defines the business rules governing how each FNOL field is sourced, extracted, formatted, and validated by the automated intake pipeline for the Allied World book of business. It is the authoritative reference for the team building, operating, and testing the pipeline.</w:t>
      </w:r>
    </w:p>
    <w:p>
      <w:pPr>
        <w:spacing w:after="80" w:before="80"/>
      </w:pPr>
      <w:r>
        <w:rPr>
          <w:rFonts w:ascii="Calibri" w:cs="Calibri" w:eastAsia="Calibri" w:hAnsi="Calibri"/>
          <w:sz w:val="22"/>
          <w:szCs w:val="22"/>
        </w:rPr>
        <w:t xml:space="preserve">The document is developed iteratively. The present version provides detailed business rules for eleven fields — six extracted by the AI model from the FNOL document and five retrieved from the Policy Service API. Detailed specifications for the remaining fields will be added in subsequent iterations.</w:t>
      </w:r>
    </w:p>
    <w:p>
      <w:pPr>
        <w:pStyle w:val="Heading1"/>
        <w:pBdr>
          <w:bottom w:val="single" w:color="EA580C" w:sz="6" w:space="4"/>
        </w:pBdr>
        <w:spacing w:after="160" w:before="400"/>
      </w:pPr>
      <w:r>
        <w:rPr>
          <w:rFonts w:ascii="Calibri" w:cs="Calibri" w:eastAsia="Calibri" w:hAnsi="Calibri"/>
          <w:b/>
          <w:bCs/>
          <w:color w:val="C2410C"/>
          <w:sz w:val="28"/>
          <w:szCs w:val="28"/>
        </w:rPr>
        <w:t xml:space="preserve">2. Scope</w:t>
      </w:r>
    </w:p>
    <w:p>
      <w:pPr>
        <w:spacing w:after="80" w:before="80"/>
      </w:pPr>
      <w:r>
        <w:rPr>
          <w:rFonts w:ascii="Calibri" w:cs="Calibri" w:eastAsia="Calibri" w:hAnsi="Calibri"/>
          <w:sz w:val="22"/>
          <w:szCs w:val="22"/>
        </w:rPr>
        <w:t xml:space="preserve">The complete set of twenty-two fields captured by the FNOL intake pipeline is listed below, together with each field's source and its current documentation status within this document. The status column indicates where the field's detailed business rules may be found in this version. Fields marked "Pending" will be specified in future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4260"/>
        <w:gridCol w:w="1800"/>
      </w:tblGrid>
      <w:tr>
        <w:trPr>
          <w:tblHeader/>
        </w:trPr>
        <w:tc>
          <w:tcPr>
            <w:tcW w:type="dxa" w:w="600"/>
            <w:tcBorders>
              <w:top w:val="single" w:color="BFBFBF" w:sz="4"/>
              <w:left w:val="single" w:color="BFBFBF" w:sz="4"/>
              <w:bottom w:val="single" w:color="BFBFBF" w:sz="4"/>
              <w:right w:val="single" w:color="BFBFBF" w:sz="4"/>
            </w:tcBorders>
            <w:shd w:fill="C2410C"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FFFFFF"/>
                <w:sz w:val="21"/>
                <w:szCs w:val="21"/>
              </w:rPr>
              <w:t xml:space="preserve">#</w:t>
            </w:r>
          </w:p>
        </w:tc>
        <w:tc>
          <w:tcPr>
            <w:tcW w:type="dxa" w:w="2700"/>
            <w:tcBorders>
              <w:top w:val="single" w:color="BFBFBF" w:sz="4"/>
              <w:left w:val="single" w:color="BFBFBF" w:sz="4"/>
              <w:bottom w:val="single" w:color="BFBFBF" w:sz="4"/>
              <w:right w:val="single" w:color="BFBFBF" w:sz="4"/>
            </w:tcBorders>
            <w:shd w:fill="C2410C"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1"/>
                <w:szCs w:val="21"/>
              </w:rPr>
              <w:t xml:space="preserve">Field</w:t>
            </w:r>
          </w:p>
        </w:tc>
        <w:tc>
          <w:tcPr>
            <w:tcW w:type="dxa" w:w="4260"/>
            <w:tcBorders>
              <w:top w:val="single" w:color="BFBFBF" w:sz="4"/>
              <w:left w:val="single" w:color="BFBFBF" w:sz="4"/>
              <w:bottom w:val="single" w:color="BFBFBF" w:sz="4"/>
              <w:right w:val="single" w:color="BFBFBF" w:sz="4"/>
            </w:tcBorders>
            <w:shd w:fill="C2410C"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1"/>
                <w:szCs w:val="21"/>
              </w:rPr>
              <w:t xml:space="preserve">Source</w:t>
            </w:r>
          </w:p>
        </w:tc>
        <w:tc>
          <w:tcPr>
            <w:tcW w:type="dxa" w:w="1800"/>
            <w:tcBorders>
              <w:top w:val="single" w:color="BFBFBF" w:sz="4"/>
              <w:left w:val="single" w:color="BFBFBF" w:sz="4"/>
              <w:bottom w:val="single" w:color="BFBFBF" w:sz="4"/>
              <w:right w:val="single" w:color="BFBFBF" w:sz="4"/>
            </w:tcBorders>
            <w:shd w:fill="C2410C"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FFFFFF"/>
                <w:sz w:val="21"/>
                <w:szCs w:val="21"/>
              </w:rPr>
              <w:t xml:space="preserve">Status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1</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Policy Number</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AI model — email body and/or attachment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C2410C"/>
                <w:sz w:val="21"/>
                <w:szCs w:val="21"/>
              </w:rPr>
              <w:t xml:space="preserve">§3.1</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2</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Effective Date</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Policy Service API</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C2410C"/>
                <w:sz w:val="21"/>
                <w:szCs w:val="21"/>
              </w:rPr>
              <w:t xml:space="preserve">§4</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3</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Expiration Date</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Policy Service API</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C2410C"/>
                <w:sz w:val="21"/>
                <w:szCs w:val="21"/>
              </w:rPr>
              <w:t xml:space="preserve">§4</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4</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Insured Name</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Policy Service API</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C2410C"/>
                <w:sz w:val="21"/>
                <w:szCs w:val="21"/>
              </w:rPr>
              <w:t xml:space="preserve">§4</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5</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Claim Date</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AI model — email body and/or attachment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C2410C"/>
                <w:sz w:val="21"/>
                <w:szCs w:val="21"/>
              </w:rPr>
              <w:t xml:space="preserve">§3.2</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6</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Claim Made Date</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Derived from Field #5 (Claim Date)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C2410C"/>
                <w:sz w:val="21"/>
                <w:szCs w:val="21"/>
              </w:rPr>
              <w:t xml:space="preserve">See §3.2</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7</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Insurer Reported Date</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AI model — email body only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C2410C"/>
                <w:sz w:val="21"/>
                <w:szCs w:val="21"/>
              </w:rPr>
              <w:t xml:space="preserve">§3.3</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8</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Accident State</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AI model — email body and/or attachment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C2410C"/>
                <w:sz w:val="21"/>
                <w:szCs w:val="21"/>
              </w:rPr>
              <w:t xml:space="preserve">§3.4</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9</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Claimant Name</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AI model — email body and/or attachment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C2410C"/>
                <w:sz w:val="21"/>
                <w:szCs w:val="21"/>
              </w:rPr>
              <w:t xml:space="preserve">§3.6</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10</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val="false"/>
                <w:bCs w:val="false"/>
                <w:sz w:val="21"/>
                <w:szCs w:val="21"/>
              </w:rPr>
              <w:t xml:space="preserve">Client</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Default — Main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val="false"/>
                <w:bCs w:val="false"/>
                <w:color w:val="595959"/>
                <w:sz w:val="21"/>
                <w:szCs w:val="21"/>
              </w:rPr>
              <w:t xml:space="preserve">Pending</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11</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val="false"/>
                <w:bCs w:val="false"/>
                <w:sz w:val="21"/>
                <w:szCs w:val="21"/>
              </w:rPr>
              <w:t xml:space="preserve">Severity</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Default — TBD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val="false"/>
                <w:bCs w:val="false"/>
                <w:color w:val="595959"/>
                <w:sz w:val="21"/>
                <w:szCs w:val="21"/>
              </w:rPr>
              <w:t xml:space="preserve">Pending</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12</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val="false"/>
                <w:bCs w:val="false"/>
                <w:sz w:val="21"/>
                <w:szCs w:val="21"/>
              </w:rPr>
              <w:t xml:space="preserve">File Type</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Default — Electronic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val="false"/>
                <w:bCs w:val="false"/>
                <w:color w:val="595959"/>
                <w:sz w:val="21"/>
                <w:szCs w:val="21"/>
              </w:rPr>
              <w:t xml:space="preserve">Pending</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13</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val="false"/>
                <w:bCs w:val="false"/>
                <w:sz w:val="21"/>
                <w:szCs w:val="21"/>
              </w:rPr>
              <w:t xml:space="preserve">Coverage Basis</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Default — Claims Made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val="false"/>
                <w:bCs w:val="false"/>
                <w:color w:val="595959"/>
                <w:sz w:val="21"/>
                <w:szCs w:val="21"/>
              </w:rPr>
              <w:t xml:space="preserve">Pending</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14</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Claimant Type</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Policy Service API</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C2410C"/>
                <w:sz w:val="21"/>
                <w:szCs w:val="21"/>
              </w:rPr>
              <w:t xml:space="preserve">§4</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15</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Insurance Type</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Policy Service API</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C2410C"/>
                <w:sz w:val="21"/>
                <w:szCs w:val="21"/>
              </w:rPr>
              <w:t xml:space="preserve">§4</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16</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val="false"/>
                <w:bCs w:val="false"/>
                <w:sz w:val="21"/>
                <w:szCs w:val="21"/>
              </w:rPr>
              <w:t xml:space="preserve">Date in Setup Inbox</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Claims Intake Application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val="false"/>
                <w:bCs w:val="false"/>
                <w:color w:val="595959"/>
                <w:sz w:val="21"/>
                <w:szCs w:val="21"/>
              </w:rPr>
              <w:t xml:space="preserve">Pending</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17</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val="false"/>
                <w:bCs w:val="false"/>
                <w:sz w:val="21"/>
                <w:szCs w:val="21"/>
              </w:rPr>
              <w:t xml:space="preserve">Classification</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Claims Intake Application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val="false"/>
                <w:bCs w:val="false"/>
                <w:color w:val="595959"/>
                <w:sz w:val="21"/>
                <w:szCs w:val="21"/>
              </w:rPr>
              <w:t xml:space="preserve">Pending</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18</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val="false"/>
                <w:bCs w:val="false"/>
                <w:sz w:val="21"/>
                <w:szCs w:val="21"/>
              </w:rPr>
              <w:t xml:space="preserve">Examiner 1</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Claims Intake Application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val="false"/>
                <w:bCs w:val="false"/>
                <w:color w:val="595959"/>
                <w:sz w:val="21"/>
                <w:szCs w:val="21"/>
              </w:rPr>
              <w:t xml:space="preserve">Pending</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19</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val="false"/>
                <w:bCs w:val="false"/>
                <w:sz w:val="21"/>
                <w:szCs w:val="21"/>
              </w:rPr>
              <w:t xml:space="preserve">Examiner 2</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Claims Intake Application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val="false"/>
                <w:bCs w:val="false"/>
                <w:color w:val="595959"/>
                <w:sz w:val="21"/>
                <w:szCs w:val="21"/>
              </w:rPr>
              <w:t xml:space="preserve">Pending</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20</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val="false"/>
                <w:bCs w:val="false"/>
                <w:sz w:val="21"/>
                <w:szCs w:val="21"/>
              </w:rPr>
              <w:t xml:space="preserve">Outside Examiner</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Claims Intake Application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val="false"/>
                <w:bCs w:val="false"/>
                <w:color w:val="595959"/>
                <w:sz w:val="21"/>
                <w:szCs w:val="21"/>
              </w:rPr>
              <w:t xml:space="preserve">Pending</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21</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val="false"/>
                <w:bCs w:val="false"/>
                <w:sz w:val="21"/>
                <w:szCs w:val="21"/>
              </w:rPr>
              <w:t xml:space="preserve">Adjusting Office</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Claims Intake Application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val="false"/>
                <w:bCs w:val="false"/>
                <w:color w:val="595959"/>
                <w:sz w:val="21"/>
                <w:szCs w:val="21"/>
              </w:rPr>
              <w:t xml:space="preserve">Pending</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22</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Country</w:t>
            </w:r>
          </w:p>
        </w:tc>
        <w:tc>
          <w:tcPr>
            <w:tcW w:type="dxa" w:w="4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AI model — email body and/or attachment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color w:val="C2410C"/>
                <w:sz w:val="21"/>
                <w:szCs w:val="21"/>
              </w:rPr>
              <w:t xml:space="preserve">§3.5</w:t>
            </w:r>
          </w:p>
        </w:tc>
      </w:tr>
    </w:tbl>
    <w:p>
      <w:pPr>
        <w:spacing w:after="120"/>
      </w:pPr>
      <w:r>
        <w:t xml:space="preserve"/>
      </w:r>
    </w:p>
    <w:p>
      <w:pPr>
        <w:pStyle w:val="Heading1"/>
        <w:pBdr>
          <w:bottom w:val="single" w:color="EA580C" w:sz="6" w:space="4"/>
        </w:pBdr>
        <w:spacing w:after="160" w:before="400"/>
      </w:pPr>
      <w:r>
        <w:rPr>
          <w:rFonts w:ascii="Calibri" w:cs="Calibri" w:eastAsia="Calibri" w:hAnsi="Calibri"/>
          <w:b/>
          <w:bCs/>
          <w:color w:val="C2410C"/>
          <w:sz w:val="28"/>
          <w:szCs w:val="28"/>
        </w:rPr>
        <w:t xml:space="preserve">3. Field Specifications</w:t>
      </w:r>
    </w:p>
    <w:p>
      <w:pPr>
        <w:pStyle w:val="Heading3"/>
        <w:spacing w:after="100" w:before="320"/>
      </w:pPr>
      <w:r>
        <w:rPr>
          <w:rFonts w:ascii="Calibri" w:cs="Calibri" w:eastAsia="Calibri" w:hAnsi="Calibri"/>
          <w:b/>
          <w:bCs/>
          <w:color w:val="C2410C"/>
          <w:sz w:val="22"/>
          <w:szCs w:val="22"/>
        </w:rPr>
        <w:t xml:space="preserve">3.1 Field #1 — Policy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Definition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Unique alphanumeric identifier assigned by the insurer to the underlying policy. Only policies issued by Allied World are within the scope of this pipeline. The Policy Number serves as the key for retrieving policy-level attributes from the Policy Service API.</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Source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Extracted by the AI model from the inbound email and its attachment. The email body is the primary source; the attachment is consulted only when the value is not present in the email body.</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Format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Alphanumeric. The value must conform to one of the Allied World policy number patterns (e.g., six-digit numeric, alphanumeric with prefix). The complete list of accepted patterns is maintained in the extraction configuration.</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Extraction Approach</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Calibri" w:cs="Calibri" w:eastAsia="Calibri" w:hAnsi="Calibri"/>
                <w:sz w:val="20"/>
                <w:szCs w:val="20"/>
              </w:rPr>
              <w:t xml:space="preserve">The AI model identifies values appearing adjacent to labels such as "Policy No.", "Policy #", "Policy Number", or "Certificate No.".</w:t>
            </w:r>
          </w:p>
          <w:p>
            <w:pPr>
              <w:pStyle w:val="ListParagraph"/>
              <w:numPr>
                <w:ilvl w:val="0"/>
                <w:numId w:val="2"/>
              </w:numPr>
              <w:spacing w:after="30" w:before="30"/>
            </w:pPr>
            <w:r>
              <w:rPr>
                <w:rFonts w:ascii="Calibri" w:cs="Calibri" w:eastAsia="Calibri" w:hAnsi="Calibri"/>
                <w:sz w:val="20"/>
                <w:szCs w:val="20"/>
              </w:rPr>
              <w:t xml:space="preserve">Only policy numbers matching an Allied World pattern are extracted. Non-Allied-World policy numbers present in the document are disregarded, even where they appear under a "Policy Number" label.</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Validation Rules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Calibri" w:cs="Calibri" w:eastAsia="Calibri" w:hAnsi="Calibri"/>
                <w:sz w:val="20"/>
                <w:szCs w:val="20"/>
              </w:rPr>
              <w:t xml:space="preserve">Required.</w:t>
            </w:r>
          </w:p>
          <w:p>
            <w:pPr>
              <w:pStyle w:val="ListParagraph"/>
              <w:numPr>
                <w:ilvl w:val="0"/>
                <w:numId w:val="2"/>
              </w:numPr>
              <w:spacing w:after="30" w:before="30"/>
            </w:pPr>
            <w:r>
              <w:rPr>
                <w:rFonts w:ascii="Calibri" w:cs="Calibri" w:eastAsia="Calibri" w:hAnsi="Calibri"/>
                <w:sz w:val="20"/>
                <w:szCs w:val="20"/>
              </w:rPr>
              <w:t xml:space="preserve">Pattern validation: each candidate value must match one of the configured Allied World patterns. Values failing all patterns are rejected.</w:t>
            </w:r>
          </w:p>
          <w:p>
            <w:pPr>
              <w:pStyle w:val="ListParagraph"/>
              <w:numPr>
                <w:ilvl w:val="0"/>
                <w:numId w:val="2"/>
              </w:numPr>
              <w:spacing w:after="30" w:before="30"/>
            </w:pPr>
            <w:r>
              <w:rPr>
                <w:rFonts w:ascii="Calibri" w:cs="Calibri" w:eastAsia="Calibri" w:hAnsi="Calibri"/>
                <w:sz w:val="20"/>
                <w:szCs w:val="20"/>
              </w:rPr>
              <w:t xml:space="preserve">Existence check: each pattern-valid value is submitted to the Policy Service API to confirm the policy is recorded in the database. Where the API returns no match, the claim is routed to human review.</w:t>
            </w:r>
          </w:p>
        </w:tc>
      </w:tr>
    </w:tbl>
    <w:p>
      <w:pPr>
        <w:spacing w:after="160"/>
      </w:pPr>
      <w:r>
        <w:t xml:space="preserve"/>
      </w:r>
    </w:p>
    <w:p>
      <w:pPr>
        <w:pStyle w:val="Heading3"/>
        <w:spacing w:after="100" w:before="320"/>
      </w:pPr>
      <w:r>
        <w:rPr>
          <w:rFonts w:ascii="Calibri" w:cs="Calibri" w:eastAsia="Calibri" w:hAnsi="Calibri"/>
          <w:b/>
          <w:bCs/>
          <w:color w:val="C2410C"/>
          <w:sz w:val="22"/>
          <w:szCs w:val="22"/>
        </w:rPr>
        <w:t xml:space="preserve">3.2 Field #5 — Claim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Definition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Date of Loss — the date on which the incident, act, or event giving rise to the claim occurred. By business rule, Claim Made Date (Field #6) is set equal to this value; no separate extraction is performed for Field #6.</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Source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Extracted by the AI model from the inbound email and its attachment. The email body is the primary source; the attachment is consulted only when the value is not present in the email body.</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Format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Date (MM/DD/YYYY).</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Extraction Approach</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Calibri" w:cs="Calibri" w:eastAsia="Calibri" w:hAnsi="Calibri"/>
                <w:sz w:val="20"/>
                <w:szCs w:val="20"/>
              </w:rPr>
              <w:t xml:space="preserve">The AI model identifies values adjacent to labels such as "Date of Loss", "DOL", "Loss Date", "Incident Date", or "Date of Occurrence".</w:t>
            </w:r>
          </w:p>
          <w:p>
            <w:pPr>
              <w:pStyle w:val="ListParagraph"/>
              <w:numPr>
                <w:ilvl w:val="0"/>
                <w:numId w:val="2"/>
              </w:numPr>
              <w:spacing w:after="30" w:before="30"/>
            </w:pPr>
            <w:r>
              <w:rPr>
                <w:rFonts w:ascii="Calibri" w:cs="Calibri" w:eastAsia="Calibri" w:hAnsi="Calibri"/>
                <w:sz w:val="20"/>
                <w:szCs w:val="20"/>
              </w:rPr>
              <w:t xml:space="preserve">Where the source describes a date range rather than a single date, the earliest date in the range is captured.</w:t>
            </w:r>
          </w:p>
          <w:p>
            <w:pPr>
              <w:pStyle w:val="ListParagraph"/>
              <w:numPr>
                <w:ilvl w:val="0"/>
                <w:numId w:val="2"/>
              </w:numPr>
              <w:spacing w:after="30" w:before="30"/>
            </w:pPr>
            <w:r>
              <w:rPr>
                <w:rFonts w:ascii="Calibri" w:cs="Calibri" w:eastAsia="Calibri" w:hAnsi="Calibri"/>
                <w:sz w:val="20"/>
                <w:szCs w:val="20"/>
              </w:rPr>
              <w:t xml:space="preserve">Scenario-specific treatment is documented in the table below.</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Validation Rules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Calibri" w:cs="Calibri" w:eastAsia="Calibri" w:hAnsi="Calibri"/>
                <w:sz w:val="20"/>
                <w:szCs w:val="20"/>
              </w:rPr>
              <w:t xml:space="preserve">Required.</w:t>
            </w:r>
          </w:p>
          <w:p>
            <w:pPr>
              <w:pStyle w:val="ListParagraph"/>
              <w:numPr>
                <w:ilvl w:val="0"/>
                <w:numId w:val="2"/>
              </w:numPr>
              <w:spacing w:after="30" w:before="30"/>
            </w:pPr>
            <w:r>
              <w:rPr>
                <w:rFonts w:ascii="Calibri" w:cs="Calibri" w:eastAsia="Calibri" w:hAnsi="Calibri"/>
                <w:sz w:val="20"/>
                <w:szCs w:val="20"/>
              </w:rPr>
              <w:t xml:space="preserve">Must be a valid calendar date. Future dates are not accepted.</w:t>
            </w:r>
          </w:p>
          <w:p>
            <w:pPr>
              <w:pStyle w:val="ListParagraph"/>
              <w:numPr>
                <w:ilvl w:val="0"/>
                <w:numId w:val="2"/>
              </w:numPr>
              <w:spacing w:after="30" w:before="30"/>
            </w:pPr>
            <w:r>
              <w:rPr>
                <w:rFonts w:ascii="Calibri" w:cs="Calibri" w:eastAsia="Calibri" w:hAnsi="Calibri"/>
                <w:sz w:val="20"/>
                <w:szCs w:val="20"/>
              </w:rPr>
              <w:t xml:space="preserve">Must fall within the policy period (Effective Date ≤ Claim Date ≤ Expiration Date), based on the policy period boundaries returned by the Policy Service API.</w:t>
            </w:r>
          </w:p>
        </w:tc>
      </w:tr>
    </w:tbl>
    <w:p>
      <w:pPr>
        <w:spacing w:after="60" w:before="160"/>
      </w:pPr>
      <w:r>
        <w:rPr>
          <w:rFonts w:ascii="Calibri" w:cs="Calibri" w:eastAsia="Calibri" w:hAnsi="Calibri"/>
          <w:b/>
          <w:bCs/>
          <w:i/>
          <w:iCs/>
          <w:color w:val="C2410C"/>
          <w:sz w:val="21"/>
          <w:szCs w:val="21"/>
        </w:rPr>
        <w:t xml:space="preserve">Scenario-Specific Interpretation — Claim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C2410C"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1"/>
                <w:szCs w:val="21"/>
              </w:rPr>
              <w:t xml:space="preserve">Scenario</w:t>
            </w:r>
          </w:p>
        </w:tc>
        <w:tc>
          <w:tcPr>
            <w:tcW w:type="dxa" w:w="6160"/>
            <w:tcBorders>
              <w:top w:val="single" w:color="BFBFBF" w:sz="4"/>
              <w:left w:val="single" w:color="BFBFBF" w:sz="4"/>
              <w:bottom w:val="single" w:color="BFBFBF" w:sz="4"/>
              <w:right w:val="single" w:color="BFBFBF" w:sz="4"/>
            </w:tcBorders>
            <w:shd w:fill="C2410C"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1"/>
                <w:szCs w:val="21"/>
              </w:rPr>
              <w:t xml:space="preserve">Treatment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Physical events (pipe burst, fire, vehicle accident, property damage, theft)</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The date on which the event physically occurred.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Cyber breach or intrusion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The breach date alone is not treated as the date of loss. The date of loss is the date on which the breach is shown — within the source document — to have resulted in financial loss or other actionable harm.</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Notice of Circumstance (NOC)</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A Notice of Circumstance reports a potential loss — facts or events that may give rise to a claim — rather than an actual realized loss. Where the notice has been formally addressed to Allied World, the date of the notice is captured as the Claim Date. Where the notice has not been directed to Allied World, this scenario does not apply.</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Directors &amp; Officers matters (e.g., wrongful termination)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The date recorded on the underlying legal document — typically the complaint or attorney demand letter — which takes precedence over any other date appearing in the source.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Loss date not evident from the source</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Where the date of loss cannot be determined from the source document under any of the scenarios above, the Insurer Reported Date (Field #7) is captured as the Claim Date by fallback. The value is flagged as fallback-derived for downstream review.</w:t>
            </w:r>
          </w:p>
        </w:tc>
      </w:tr>
    </w:tbl>
    <w:p>
      <w:pPr>
        <w:spacing w:after="160"/>
      </w:pPr>
      <w:r>
        <w:t xml:space="preserve"/>
      </w:r>
    </w:p>
    <w:p>
      <w:pPr>
        <w:pStyle w:val="Heading3"/>
        <w:spacing w:after="100" w:before="320"/>
      </w:pPr>
      <w:r>
        <w:rPr>
          <w:rFonts w:ascii="Calibri" w:cs="Calibri" w:eastAsia="Calibri" w:hAnsi="Calibri"/>
          <w:b/>
          <w:bCs/>
          <w:color w:val="C2410C"/>
          <w:sz w:val="22"/>
          <w:szCs w:val="22"/>
        </w:rPr>
        <w:t xml:space="preserve">3.3 Field #7 — Insurer Reported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Definition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Date on which the claim was formally reported to Allied World.</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Source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Extracted by the AI model from the email body only. The attachment is not consulted for this field. Where the value is not present in the email body, the inbound email timestamp is used as the fallback value and flagged as system-derived.</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Format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Date (MM/DD/YYYY).</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Extraction Approach</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Calibri" w:cs="Calibri" w:eastAsia="Calibri" w:hAnsi="Calibri"/>
                <w:sz w:val="20"/>
                <w:szCs w:val="20"/>
              </w:rPr>
              <w:t xml:space="preserve">The AI model identifies values adjacent to labels such as "Reported Date", "Date Reported to Carrier", or "Notice Date" in the email body.</w:t>
            </w:r>
          </w:p>
          <w:p>
            <w:pPr>
              <w:pStyle w:val="ListParagraph"/>
              <w:numPr>
                <w:ilvl w:val="0"/>
                <w:numId w:val="2"/>
              </w:numPr>
              <w:spacing w:after="30" w:before="30"/>
            </w:pPr>
            <w:r>
              <w:rPr>
                <w:rFonts w:ascii="Calibri" w:cs="Calibri" w:eastAsia="Calibri" w:hAnsi="Calibri"/>
                <w:sz w:val="20"/>
                <w:szCs w:val="20"/>
              </w:rPr>
              <w:t xml:space="preserve">Where no value is present in the email body, the inbound email timestamp is captured and flagged as system-derived.</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Validation Rules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Calibri" w:cs="Calibri" w:eastAsia="Calibri" w:hAnsi="Calibri"/>
                <w:sz w:val="20"/>
                <w:szCs w:val="20"/>
              </w:rPr>
              <w:t xml:space="preserve">Required.</w:t>
            </w:r>
          </w:p>
          <w:p>
            <w:pPr>
              <w:pStyle w:val="ListParagraph"/>
              <w:numPr>
                <w:ilvl w:val="0"/>
                <w:numId w:val="2"/>
              </w:numPr>
              <w:spacing w:after="30" w:before="30"/>
            </w:pPr>
            <w:r>
              <w:rPr>
                <w:rFonts w:ascii="Calibri" w:cs="Calibri" w:eastAsia="Calibri" w:hAnsi="Calibri"/>
                <w:sz w:val="20"/>
                <w:szCs w:val="20"/>
              </w:rPr>
              <w:t xml:space="preserve">Must be a valid calendar date and must not be a future date.</w:t>
            </w:r>
          </w:p>
          <w:p>
            <w:pPr>
              <w:pStyle w:val="ListParagraph"/>
              <w:numPr>
                <w:ilvl w:val="0"/>
                <w:numId w:val="2"/>
              </w:numPr>
              <w:spacing w:after="30" w:before="30"/>
            </w:pPr>
            <w:r>
              <w:rPr>
                <w:rFonts w:ascii="Calibri" w:cs="Calibri" w:eastAsia="Calibri" w:hAnsi="Calibri"/>
                <w:sz w:val="20"/>
                <w:szCs w:val="20"/>
              </w:rPr>
              <w:t xml:space="preserve">Must be greater than or equal to Claim Made Date.</w:t>
            </w:r>
          </w:p>
        </w:tc>
      </w:tr>
    </w:tbl>
    <w:p>
      <w:pPr>
        <w:spacing w:after="160"/>
      </w:pPr>
      <w:r>
        <w:t xml:space="preserve"/>
      </w:r>
    </w:p>
    <w:p>
      <w:pPr>
        <w:pStyle w:val="Heading3"/>
        <w:spacing w:after="100" w:before="320"/>
      </w:pPr>
      <w:r>
        <w:rPr>
          <w:rFonts w:ascii="Calibri" w:cs="Calibri" w:eastAsia="Calibri" w:hAnsi="Calibri"/>
          <w:b/>
          <w:bCs/>
          <w:color w:val="C2410C"/>
          <w:sz w:val="22"/>
          <w:szCs w:val="22"/>
        </w:rPr>
        <w:t xml:space="preserve">3.4 Field #8 — Accident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Definition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The US state or jurisdiction in which the loss is deemed to have occurred.</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Source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Extracted by the AI model from the inbound email and its attachment. The email body is the primary source; the attachment is consulted only when the value is not present in the email body.</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Format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Two-letter US state abbreviation (e.g., NY, CA, TX).</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Extraction Approach</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Calibri" w:cs="Calibri" w:eastAsia="Calibri" w:hAnsi="Calibri"/>
                <w:sz w:val="20"/>
                <w:szCs w:val="20"/>
              </w:rPr>
              <w:t xml:space="preserve">The AI model identifies values adjacent to labels such as "State", "Loss State", or "Jurisdiction".</w:t>
            </w:r>
          </w:p>
          <w:p>
            <w:pPr>
              <w:pStyle w:val="ListParagraph"/>
              <w:numPr>
                <w:ilvl w:val="0"/>
                <w:numId w:val="2"/>
              </w:numPr>
              <w:spacing w:after="30" w:before="30"/>
            </w:pPr>
            <w:r>
              <w:rPr>
                <w:rFonts w:ascii="Calibri" w:cs="Calibri" w:eastAsia="Calibri" w:hAnsi="Calibri"/>
                <w:sz w:val="20"/>
                <w:szCs w:val="20"/>
              </w:rPr>
              <w:t xml:space="preserve">Both full state names and two-letter abbreviations are accepted; all values are normalized to the two-letter abbreviation prior to record creation.</w:t>
            </w:r>
          </w:p>
          <w:p>
            <w:pPr>
              <w:pStyle w:val="ListParagraph"/>
              <w:numPr>
                <w:ilvl w:val="0"/>
                <w:numId w:val="2"/>
              </w:numPr>
              <w:spacing w:after="30" w:before="30"/>
            </w:pPr>
            <w:r>
              <w:rPr>
                <w:rFonts w:ascii="Calibri" w:cs="Calibri" w:eastAsia="Calibri" w:hAnsi="Calibri"/>
                <w:sz w:val="20"/>
                <w:szCs w:val="20"/>
              </w:rPr>
              <w:t xml:space="preserve">Scenario-specific treatment is documented in the table below.</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Validation Rules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Calibri" w:cs="Calibri" w:eastAsia="Calibri" w:hAnsi="Calibri"/>
                <w:sz w:val="20"/>
                <w:szCs w:val="20"/>
              </w:rPr>
              <w:t xml:space="preserve">Required.</w:t>
            </w:r>
          </w:p>
          <w:p>
            <w:pPr>
              <w:pStyle w:val="ListParagraph"/>
              <w:numPr>
                <w:ilvl w:val="0"/>
                <w:numId w:val="2"/>
              </w:numPr>
              <w:spacing w:after="30" w:before="30"/>
            </w:pPr>
            <w:r>
              <w:rPr>
                <w:rFonts w:ascii="Calibri" w:cs="Calibri" w:eastAsia="Calibri" w:hAnsi="Calibri"/>
                <w:sz w:val="20"/>
                <w:szCs w:val="20"/>
              </w:rPr>
              <w:t xml:space="preserve">Must resolve to a valid US state abbreviation.</w:t>
            </w:r>
          </w:p>
          <w:p>
            <w:pPr>
              <w:pStyle w:val="ListParagraph"/>
              <w:numPr>
                <w:ilvl w:val="0"/>
                <w:numId w:val="2"/>
              </w:numPr>
              <w:spacing w:after="30" w:before="30"/>
            </w:pPr>
            <w:r>
              <w:rPr>
                <w:rFonts w:ascii="Calibri" w:cs="Calibri" w:eastAsia="Calibri" w:hAnsi="Calibri"/>
                <w:sz w:val="20"/>
                <w:szCs w:val="20"/>
              </w:rPr>
              <w:t xml:space="preserve">Claims with an international loss location are routed to a separate workflow and are out of scope for this pipeline.</w:t>
            </w:r>
          </w:p>
        </w:tc>
      </w:tr>
    </w:tbl>
    <w:p>
      <w:pPr>
        <w:spacing w:after="60" w:before="160"/>
      </w:pPr>
      <w:r>
        <w:rPr>
          <w:rFonts w:ascii="Calibri" w:cs="Calibri" w:eastAsia="Calibri" w:hAnsi="Calibri"/>
          <w:b/>
          <w:bCs/>
          <w:i/>
          <w:iCs/>
          <w:color w:val="C2410C"/>
          <w:sz w:val="21"/>
          <w:szCs w:val="21"/>
        </w:rPr>
        <w:t xml:space="preserve">Scenario-Specific Interpretation — Accident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C2410C"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1"/>
                <w:szCs w:val="21"/>
              </w:rPr>
              <w:t xml:space="preserve">Scenario</w:t>
            </w:r>
          </w:p>
        </w:tc>
        <w:tc>
          <w:tcPr>
            <w:tcW w:type="dxa" w:w="6160"/>
            <w:tcBorders>
              <w:top w:val="single" w:color="BFBFBF" w:sz="4"/>
              <w:left w:val="single" w:color="BFBFBF" w:sz="4"/>
              <w:bottom w:val="single" w:color="BFBFBF" w:sz="4"/>
              <w:right w:val="single" w:color="BFBFBF" w:sz="4"/>
            </w:tcBorders>
            <w:shd w:fill="C2410C"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1"/>
                <w:szCs w:val="21"/>
              </w:rPr>
              <w:t xml:space="preserve">Treatment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Physical events (pipe burst, fire, vehicle accident, property damage)</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The state in which the event physically occurred.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Cyber breach or intrusion</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The state of the insured's principal office, unless a lawsuit or regulatory action has been filed — in which case the jurisdiction of that proceeding takes precedence.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Notice of Circumstance (NOC)</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A Notice of Circumstance reports a potential loss rather than an actual realized loss. The state stated in the notice is captured, provided the notice has been formally addressed to Allied World.</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Directors &amp; Officers matters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The state recorded on the underlying legal document, such as a complaint or attorney demand letter, which takes precedence over any other state appearing in the source.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State not evident from the source</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Where the state cannot be determined under any of the scenarios above, the AI model falls back to the following hierarchy, in priority order: (1) the state recorded in the insured's address, (2) the state of any court in which a related proceeding has been filed, or (3) the state of the attorney recorded in the demand letter. The value is flagged as fallback-derived for downstream review.</w:t>
            </w:r>
          </w:p>
        </w:tc>
      </w:tr>
    </w:tbl>
    <w:p>
      <w:pPr>
        <w:spacing w:after="160"/>
      </w:pPr>
      <w:r>
        <w:t xml:space="preserve"/>
      </w:r>
    </w:p>
    <w:p>
      <w:pPr>
        <w:pStyle w:val="Heading3"/>
        <w:spacing w:after="100" w:before="320"/>
      </w:pPr>
      <w:r>
        <w:rPr>
          <w:rFonts w:ascii="Calibri" w:cs="Calibri" w:eastAsia="Calibri" w:hAnsi="Calibri"/>
          <w:b/>
          <w:bCs/>
          <w:color w:val="C2410C"/>
          <w:sz w:val="22"/>
          <w:szCs w:val="22"/>
        </w:rPr>
        <w:t xml:space="preserve">3.5 Field #22 —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Definition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The country in which the loss occurred. Used to confirm that the claim falls within the scope of this US-based intake workflow.</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Source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Extracted by the AI model from the inbound email and its attachment. The email body is the primary source; the attachment is consulted only when the value is not present in the email body.</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Format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Two-letter ISO 3166-1 alpha-2 country code (e.g., US, CA, GB).</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Extraction Approach</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Calibri" w:cs="Calibri" w:eastAsia="Calibri" w:hAnsi="Calibri"/>
                <w:sz w:val="20"/>
                <w:szCs w:val="20"/>
              </w:rPr>
              <w:t xml:space="preserve">The AI model identifies values adjacent to labels such as "Country", "Loss Country", or "Country of Loss".</w:t>
            </w:r>
          </w:p>
          <w:p>
            <w:pPr>
              <w:pStyle w:val="ListParagraph"/>
              <w:numPr>
                <w:ilvl w:val="0"/>
                <w:numId w:val="2"/>
              </w:numPr>
              <w:spacing w:after="30" w:before="30"/>
            </w:pPr>
            <w:r>
              <w:rPr>
                <w:rFonts w:ascii="Calibri" w:cs="Calibri" w:eastAsia="Calibri" w:hAnsi="Calibri"/>
                <w:sz w:val="20"/>
                <w:szCs w:val="20"/>
              </w:rPr>
              <w:t xml:space="preserve">Where no country is explicitly stated and a US-based Accident State (Field #8) has been captured, the value defaults to "US" and is flagged as inferred.</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Validation Rules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Calibri" w:cs="Calibri" w:eastAsia="Calibri" w:hAnsi="Calibri"/>
                <w:sz w:val="20"/>
                <w:szCs w:val="20"/>
              </w:rPr>
              <w:t xml:space="preserve">Required.</w:t>
            </w:r>
          </w:p>
          <w:p>
            <w:pPr>
              <w:pStyle w:val="ListParagraph"/>
              <w:numPr>
                <w:ilvl w:val="0"/>
                <w:numId w:val="2"/>
              </w:numPr>
              <w:spacing w:after="30" w:before="30"/>
            </w:pPr>
            <w:r>
              <w:rPr>
                <w:rFonts w:ascii="Calibri" w:cs="Calibri" w:eastAsia="Calibri" w:hAnsi="Calibri"/>
                <w:sz w:val="20"/>
                <w:szCs w:val="20"/>
              </w:rPr>
              <w:t xml:space="preserve">Must resolve to a valid ISO 3166-1 alpha-2 country code.</w:t>
            </w:r>
          </w:p>
          <w:p>
            <w:pPr>
              <w:pStyle w:val="ListParagraph"/>
              <w:numPr>
                <w:ilvl w:val="0"/>
                <w:numId w:val="2"/>
              </w:numPr>
              <w:spacing w:after="30" w:before="30"/>
            </w:pPr>
            <w:r>
              <w:rPr>
                <w:rFonts w:ascii="Calibri" w:cs="Calibri" w:eastAsia="Calibri" w:hAnsi="Calibri"/>
                <w:sz w:val="20"/>
                <w:szCs w:val="20"/>
              </w:rPr>
              <w:t xml:space="preserve">Claims with Country = US are processed through the standard intake workflow.</w:t>
            </w:r>
          </w:p>
          <w:p>
            <w:pPr>
              <w:pStyle w:val="ListParagraph"/>
              <w:numPr>
                <w:ilvl w:val="0"/>
                <w:numId w:val="2"/>
              </w:numPr>
              <w:spacing w:after="30" w:before="30"/>
            </w:pPr>
            <w:r>
              <w:rPr>
                <w:rFonts w:ascii="Calibri" w:cs="Calibri" w:eastAsia="Calibri" w:hAnsi="Calibri"/>
                <w:sz w:val="20"/>
                <w:szCs w:val="20"/>
              </w:rPr>
              <w:t xml:space="preserve">Claims with Country ≠ US are routed to the international workflow and are out of scope for this pipeline.</w:t>
            </w:r>
          </w:p>
        </w:tc>
      </w:tr>
    </w:tbl>
    <w:p>
      <w:pPr>
        <w:spacing w:after="160"/>
      </w:pPr>
      <w:r>
        <w:t xml:space="preserve"/>
      </w:r>
    </w:p>
    <w:p>
      <w:pPr>
        <w:pStyle w:val="Heading3"/>
        <w:spacing w:after="100" w:before="320"/>
      </w:pPr>
      <w:r>
        <w:rPr>
          <w:rFonts w:ascii="Calibri" w:cs="Calibri" w:eastAsia="Calibri" w:hAnsi="Calibri"/>
          <w:b/>
          <w:bCs/>
          <w:color w:val="C2410C"/>
          <w:sz w:val="22"/>
          <w:szCs w:val="22"/>
        </w:rPr>
        <w:t xml:space="preserve">3.6 Field #9 — Claimant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Definition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The full legal name of the party making the claim against the insured.</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Source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Extracted by the AI model from the inbound email and its attachment. The email body is the primary source; the attachment is consulted only when the value is not present in the email body.</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Format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Free text (string).</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Extraction Approach</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Calibri" w:cs="Calibri" w:eastAsia="Calibri" w:hAnsi="Calibri"/>
                <w:sz w:val="20"/>
                <w:szCs w:val="20"/>
              </w:rPr>
              <w:t xml:space="preserve">The AI model identifies values adjacent to labels such as "Claimant", "Claimant Name", "Plaintiff", or "Demanding Party".</w:t>
            </w:r>
          </w:p>
          <w:p>
            <w:pPr>
              <w:pStyle w:val="ListParagraph"/>
              <w:numPr>
                <w:ilvl w:val="0"/>
                <w:numId w:val="2"/>
              </w:numPr>
              <w:spacing w:after="30" w:before="30"/>
            </w:pPr>
            <w:r>
              <w:rPr>
                <w:rFonts w:ascii="Calibri" w:cs="Calibri" w:eastAsia="Calibri" w:hAnsi="Calibri"/>
                <w:sz w:val="20"/>
                <w:szCs w:val="20"/>
              </w:rPr>
              <w:t xml:space="preserve">Names are captured verbatim; no automated correction is applied.</w:t>
            </w:r>
          </w:p>
          <w:p>
            <w:pPr>
              <w:pStyle w:val="ListParagraph"/>
              <w:numPr>
                <w:ilvl w:val="0"/>
                <w:numId w:val="2"/>
              </w:numPr>
              <w:spacing w:after="30" w:before="30"/>
            </w:pPr>
            <w:r>
              <w:rPr>
                <w:rFonts w:ascii="Calibri" w:cs="Calibri" w:eastAsia="Calibri" w:hAnsi="Calibri"/>
                <w:sz w:val="20"/>
                <w:szCs w:val="20"/>
              </w:rPr>
              <w:t xml:space="preserve">Where multiple claimants are present, the primary claimant is captured in this field and the remaining claimants are recorded in the claim notes.</w:t>
            </w:r>
          </w:p>
        </w:tc>
      </w:tr>
      <w:tr>
        <w:tc>
          <w:tcPr>
            <w:tcW w:type="dxa" w:w="2200"/>
            <w:tcBorders>
              <w:top w:val="single" w:color="BFBFBF" w:sz="4"/>
              <w:left w:val="single" w:color="BFBFBF" w:sz="4"/>
              <w:bottom w:val="single" w:color="BFBFBF" w:sz="4"/>
              <w:right w:val="single" w:color="BFBFBF" w:sz="4"/>
            </w:tcBorders>
            <w:shd w:fill="FFF4E6" w:val="clear"/>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Validation Rules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Calibri" w:cs="Calibri" w:eastAsia="Calibri" w:hAnsi="Calibri"/>
                <w:sz w:val="20"/>
                <w:szCs w:val="20"/>
              </w:rPr>
              <w:t xml:space="preserve">Required.</w:t>
            </w:r>
          </w:p>
          <w:p>
            <w:pPr>
              <w:pStyle w:val="ListParagraph"/>
              <w:numPr>
                <w:ilvl w:val="0"/>
                <w:numId w:val="2"/>
              </w:numPr>
              <w:spacing w:after="30" w:before="30"/>
            </w:pPr>
            <w:r>
              <w:rPr>
                <w:rFonts w:ascii="Calibri" w:cs="Calibri" w:eastAsia="Calibri" w:hAnsi="Calibri"/>
                <w:sz w:val="20"/>
                <w:szCs w:val="20"/>
              </w:rPr>
              <w:t xml:space="preserve">Only the primary claimant is captured in this field; additional claimants are recorded in the claim notes.</w:t>
            </w:r>
          </w:p>
        </w:tc>
      </w:tr>
    </w:tbl>
    <w:p>
      <w:pPr>
        <w:spacing w:after="160"/>
      </w:pPr>
      <w:r>
        <w:t xml:space="preserve"/>
      </w:r>
    </w:p>
    <w:p>
      <w:pPr>
        <w:pStyle w:val="Heading1"/>
        <w:pBdr>
          <w:bottom w:val="single" w:color="EA580C" w:sz="6" w:space="4"/>
        </w:pBdr>
        <w:spacing w:after="160" w:before="400"/>
      </w:pPr>
      <w:r>
        <w:rPr>
          <w:rFonts w:ascii="Calibri" w:cs="Calibri" w:eastAsia="Calibri" w:hAnsi="Calibri"/>
          <w:b/>
          <w:bCs/>
          <w:color w:val="C2410C"/>
          <w:sz w:val="28"/>
          <w:szCs w:val="28"/>
        </w:rPr>
        <w:t xml:space="preserve">4. Policy Service API-Derived Fields</w:t>
      </w:r>
    </w:p>
    <w:p>
      <w:pPr>
        <w:spacing w:after="80" w:before="80"/>
      </w:pPr>
      <w:r>
        <w:rPr>
          <w:rFonts w:ascii="Calibri" w:cs="Calibri" w:eastAsia="Calibri" w:hAnsi="Calibri"/>
          <w:sz w:val="22"/>
          <w:szCs w:val="22"/>
        </w:rPr>
        <w:t xml:space="preserve">The five fields documented in this section are not extracted directly from the inbound FNOL document. They are retrieved from the Policy Service API once the Policy Number (Field #1) has been extracted and validated.</w:t>
      </w:r>
    </w:p>
    <w:p>
      <w:pPr>
        <w:pStyle w:val="Heading3"/>
        <w:spacing w:after="100" w:before="320"/>
      </w:pPr>
      <w:r>
        <w:rPr>
          <w:rFonts w:ascii="Calibri" w:cs="Calibri" w:eastAsia="Calibri" w:hAnsi="Calibri"/>
          <w:b/>
          <w:bCs/>
          <w:color w:val="C2410C"/>
          <w:sz w:val="22"/>
          <w:szCs w:val="22"/>
        </w:rPr>
        <w:t xml:space="preserve">4.1 Extraction Logic</w:t>
      </w:r>
    </w:p>
    <w:p>
      <w:pPr>
        <w:spacing w:after="80" w:before="80"/>
      </w:pPr>
      <w:r>
        <w:rPr>
          <w:rFonts w:ascii="Calibri" w:cs="Calibri" w:eastAsia="Calibri" w:hAnsi="Calibri"/>
          <w:sz w:val="22"/>
          <w:szCs w:val="22"/>
        </w:rPr>
        <w:t xml:space="preserve">The AI model performs the following sequence to populate the API-derived fields:</w:t>
      </w:r>
    </w:p>
    <w:p>
      <w:pPr>
        <w:pStyle w:val="ListParagraph"/>
        <w:numPr>
          <w:ilvl w:val="0"/>
          <w:numId w:val="2"/>
        </w:numPr>
        <w:spacing w:after="30" w:before="30"/>
      </w:pPr>
      <w:r>
        <w:rPr>
          <w:rFonts w:ascii="Calibri" w:cs="Calibri" w:eastAsia="Calibri" w:hAnsi="Calibri"/>
          <w:sz w:val="21"/>
          <w:szCs w:val="21"/>
        </w:rPr>
        <w:t xml:space="preserve">Lookup. The validated Policy Number is submitted to the Policy Service API.</w:t>
      </w:r>
    </w:p>
    <w:p>
      <w:pPr>
        <w:pStyle w:val="ListParagraph"/>
        <w:numPr>
          <w:ilvl w:val="0"/>
          <w:numId w:val="2"/>
        </w:numPr>
        <w:spacing w:after="30" w:before="30"/>
      </w:pPr>
      <w:r>
        <w:rPr>
          <w:rFonts w:ascii="Calibri" w:cs="Calibri" w:eastAsia="Calibri" w:hAnsi="Calibri"/>
          <w:sz w:val="21"/>
          <w:szCs w:val="21"/>
        </w:rPr>
        <w:t xml:space="preserve">Multiple records. The API may return one or more policy records for the same Policy Number, each representing a distinct policy period defined by its own Effective and Expiration Date.</w:t>
      </w:r>
    </w:p>
    <w:p>
      <w:pPr>
        <w:pStyle w:val="ListParagraph"/>
        <w:numPr>
          <w:ilvl w:val="0"/>
          <w:numId w:val="2"/>
        </w:numPr>
        <w:spacing w:after="30" w:before="30"/>
      </w:pPr>
      <w:r>
        <w:rPr>
          <w:rFonts w:ascii="Calibri" w:cs="Calibri" w:eastAsia="Calibri" w:hAnsi="Calibri"/>
          <w:sz w:val="21"/>
          <w:szCs w:val="21"/>
        </w:rPr>
        <w:t xml:space="preserve">Policy period selection. Where multiple records are returned, the AI model selects the record whose period covers the Claim Date (Field #5) — i.e., the record where Effective Date ≤ Claim Date ≤ Expiration Date. The field values associated with that selected record are taken as authoritative.</w:t>
      </w:r>
    </w:p>
    <w:p>
      <w:pPr>
        <w:pStyle w:val="ListParagraph"/>
        <w:numPr>
          <w:ilvl w:val="0"/>
          <w:numId w:val="2"/>
        </w:numPr>
        <w:spacing w:after="30" w:before="30"/>
      </w:pPr>
      <w:r>
        <w:rPr>
          <w:rFonts w:ascii="Calibri" w:cs="Calibri" w:eastAsia="Calibri" w:hAnsi="Calibri"/>
          <w:sz w:val="21"/>
          <w:szCs w:val="21"/>
        </w:rPr>
        <w:t xml:space="preserve">No covering period. Where no returned record covers the Claim Date, or where the API returns no record at all, the claim is routed to human review.</w:t>
      </w:r>
    </w:p>
    <w:p>
      <w:pPr>
        <w:pStyle w:val="ListParagraph"/>
        <w:numPr>
          <w:ilvl w:val="0"/>
          <w:numId w:val="2"/>
        </w:numPr>
        <w:spacing w:after="30" w:before="30"/>
      </w:pPr>
      <w:r>
        <w:rPr>
          <w:rFonts w:ascii="Calibri" w:cs="Calibri" w:eastAsia="Calibri" w:hAnsi="Calibri"/>
          <w:sz w:val="21"/>
          <w:szCs w:val="21"/>
        </w:rPr>
        <w:t xml:space="preserve">User-driven refresh. Where a user subsequently modifies the Policy Number or the Claim Date in the user interface, the Policy Service API is re-queried automatically in the background. The selection logic is re-applied to the refreshed response, and the resulting field values are reflected on screen for human review.</w:t>
      </w:r>
    </w:p>
    <w:p>
      <w:pPr>
        <w:pStyle w:val="Heading3"/>
        <w:spacing w:after="100" w:before="320"/>
      </w:pPr>
      <w:r>
        <w:rPr>
          <w:rFonts w:ascii="Calibri" w:cs="Calibri" w:eastAsia="Calibri" w:hAnsi="Calibri"/>
          <w:b/>
          <w:bCs/>
          <w:color w:val="C2410C"/>
          <w:sz w:val="22"/>
          <w:szCs w:val="22"/>
        </w:rPr>
        <w:t xml:space="preserve">4.2 Fields Retrieved</w:t>
      </w:r>
    </w:p>
    <w:p>
      <w:pPr>
        <w:spacing w:after="80" w:before="80"/>
      </w:pPr>
      <w:r>
        <w:rPr>
          <w:rFonts w:ascii="Calibri" w:cs="Calibri" w:eastAsia="Calibri" w:hAnsi="Calibri"/>
          <w:sz w:val="22"/>
          <w:szCs w:val="22"/>
        </w:rPr>
        <w:t xml:space="preserve">The following fields are returned from the selected policy record and written to the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80"/>
        <w:gridCol w:w="4380"/>
        <w:gridCol w:w="2400"/>
      </w:tblGrid>
      <w:tr>
        <w:trPr>
          <w:tblHeader/>
        </w:trPr>
        <w:tc>
          <w:tcPr>
            <w:tcW w:type="dxa" w:w="600"/>
            <w:tcBorders>
              <w:top w:val="single" w:color="BFBFBF" w:sz="4"/>
              <w:left w:val="single" w:color="BFBFBF" w:sz="4"/>
              <w:bottom w:val="single" w:color="BFBFBF" w:sz="4"/>
              <w:right w:val="single" w:color="BFBFBF" w:sz="4"/>
            </w:tcBorders>
            <w:shd w:fill="C2410C"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FFFFFF"/>
                <w:sz w:val="21"/>
                <w:szCs w:val="21"/>
              </w:rPr>
              <w:t xml:space="preserve">#</w:t>
            </w:r>
          </w:p>
        </w:tc>
        <w:tc>
          <w:tcPr>
            <w:tcW w:type="dxa" w:w="1980"/>
            <w:tcBorders>
              <w:top w:val="single" w:color="BFBFBF" w:sz="4"/>
              <w:left w:val="single" w:color="BFBFBF" w:sz="4"/>
              <w:bottom w:val="single" w:color="BFBFBF" w:sz="4"/>
              <w:right w:val="single" w:color="BFBFBF" w:sz="4"/>
            </w:tcBorders>
            <w:shd w:fill="C2410C"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1"/>
                <w:szCs w:val="21"/>
              </w:rPr>
              <w:t xml:space="preserve">Field</w:t>
            </w:r>
          </w:p>
        </w:tc>
        <w:tc>
          <w:tcPr>
            <w:tcW w:type="dxa" w:w="4380"/>
            <w:tcBorders>
              <w:top w:val="single" w:color="BFBFBF" w:sz="4"/>
              <w:left w:val="single" w:color="BFBFBF" w:sz="4"/>
              <w:bottom w:val="single" w:color="BFBFBF" w:sz="4"/>
              <w:right w:val="single" w:color="BFBFBF" w:sz="4"/>
            </w:tcBorders>
            <w:shd w:fill="C2410C"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1"/>
                <w:szCs w:val="21"/>
              </w:rPr>
              <w:t xml:space="preserve">Definition</w:t>
            </w:r>
          </w:p>
        </w:tc>
        <w:tc>
          <w:tcPr>
            <w:tcW w:type="dxa" w:w="2400"/>
            <w:tcBorders>
              <w:top w:val="single" w:color="BFBFBF" w:sz="4"/>
              <w:left w:val="single" w:color="BFBFBF" w:sz="4"/>
              <w:bottom w:val="single" w:color="BFBFBF" w:sz="4"/>
              <w:right w:val="single" w:color="BFBFBF" w:sz="4"/>
            </w:tcBorders>
            <w:shd w:fill="C2410C"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1"/>
                <w:szCs w:val="21"/>
              </w:rPr>
              <w:t xml:space="preserve">Format</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2</w:t>
            </w:r>
          </w:p>
        </w:tc>
        <w:tc>
          <w:tcPr>
            <w:tcW w:type="dxa" w:w="1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Effective Date</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Date on which the policy coverage commenced for the selected policy period.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Date (MM/DD/YYYY)</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3</w:t>
            </w:r>
          </w:p>
        </w:tc>
        <w:tc>
          <w:tcPr>
            <w:tcW w:type="dxa" w:w="1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Expiration Date</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Date on which the policy coverage ended (or ends) for the selected policy period.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Date (MM/DD/YYYY)</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4</w:t>
            </w:r>
          </w:p>
        </w:tc>
        <w:tc>
          <w:tcPr>
            <w:tcW w:type="dxa" w:w="1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Insured Name</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Legal name of the named insured recorded on the selected policy record.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Free text (string)</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14</w:t>
            </w:r>
          </w:p>
        </w:tc>
        <w:tc>
          <w:tcPr>
            <w:tcW w:type="dxa" w:w="1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Claimant Type</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Category of claimant recorded on the selected policy record (e.g., First-Party, Third-Party, Subrogated).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Controlled vocabulary</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15</w:t>
            </w:r>
          </w:p>
        </w:tc>
        <w:tc>
          <w:tcPr>
            <w:tcW w:type="dxa" w:w="1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Insurance Type</w:t>
            </w:r>
          </w:p>
        </w:tc>
        <w:tc>
          <w:tcPr>
            <w:tcW w:type="dxa" w:w="43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Line of Business of the selected policy record (e.g., General Casualty, Property, Cyber, Lawyers E&amp;O).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Controlled vocabulary</w:t>
            </w:r>
          </w:p>
        </w:tc>
      </w:tr>
    </w:tbl>
    <w:p>
      <w:pPr>
        <w:spacing w:after="120"/>
      </w:pPr>
      <w:r>
        <w:t xml:space="preserve"/>
      </w:r>
    </w:p>
    <w:p>
      <w:pPr>
        <w:pStyle w:val="Heading1"/>
        <w:pBdr>
          <w:bottom w:val="single" w:color="EA580C" w:sz="6" w:space="4"/>
        </w:pBdr>
        <w:spacing w:after="160" w:before="400"/>
      </w:pPr>
      <w:r>
        <w:rPr>
          <w:rFonts w:ascii="Calibri" w:cs="Calibri" w:eastAsia="Calibri" w:hAnsi="Calibri"/>
          <w:b/>
          <w:bCs/>
          <w:color w:val="C2410C"/>
          <w:sz w:val="28"/>
          <w:szCs w:val="28"/>
        </w:rPr>
        <w:t xml:space="preserve">5. Points to Note</w:t>
      </w:r>
    </w:p>
    <w:p>
      <w:pPr>
        <w:spacing w:after="80" w:before="80"/>
      </w:pPr>
      <w:r>
        <w:rPr>
          <w:rFonts w:ascii="Calibri" w:cs="Calibri" w:eastAsia="Calibri" w:hAnsi="Calibri"/>
          <w:sz w:val="22"/>
          <w:szCs w:val="22"/>
        </w:rPr>
        <w:t xml:space="preserve">The following points capture additional rules governing submission, together with items identified for discussion with business stakeholders.</w:t>
      </w:r>
    </w:p>
    <w:p>
      <w:pPr>
        <w:pStyle w:val="Heading3"/>
        <w:spacing w:after="100" w:before="320"/>
      </w:pPr>
      <w:r>
        <w:rPr>
          <w:rFonts w:ascii="Calibri" w:cs="Calibri" w:eastAsia="Calibri" w:hAnsi="Calibri"/>
          <w:b/>
          <w:bCs/>
          <w:color w:val="C2410C"/>
          <w:sz w:val="22"/>
          <w:szCs w:val="22"/>
        </w:rPr>
        <w:t xml:space="preserve">5.1 Mandatory Fields for Submission</w:t>
      </w:r>
    </w:p>
    <w:p>
      <w:pPr>
        <w:spacing w:after="80" w:before="80"/>
      </w:pPr>
      <w:r>
        <w:rPr>
          <w:rFonts w:ascii="Calibri" w:cs="Calibri" w:eastAsia="Calibri" w:hAnsi="Calibri"/>
          <w:sz w:val="22"/>
          <w:szCs w:val="22"/>
        </w:rPr>
        <w:t xml:space="preserve">The following fields must be populated before a case can be submitted via the user interface. The system will not accept a submission while any of these fields is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5640"/>
      </w:tblGrid>
      <w:tr>
        <w:trPr>
          <w:tblHeader/>
        </w:trPr>
        <w:tc>
          <w:tcPr>
            <w:tcW w:type="dxa" w:w="720"/>
            <w:tcBorders>
              <w:top w:val="single" w:color="BFBFBF" w:sz="4"/>
              <w:left w:val="single" w:color="BFBFBF" w:sz="4"/>
              <w:bottom w:val="single" w:color="BFBFBF" w:sz="4"/>
              <w:right w:val="single" w:color="BFBFBF" w:sz="4"/>
            </w:tcBorders>
            <w:shd w:fill="C2410C" w:val="clear"/>
            <w:tcMar>
              <w:top w:type="dxa" w:w="100"/>
              <w:left w:type="dxa" w:w="140"/>
              <w:bottom w:type="dxa" w:w="100"/>
              <w:right w:type="dxa" w:w="140"/>
            </w:tcMar>
            <w:vAlign w:val="center"/>
          </w:tcPr>
          <w:p>
            <w:pPr>
              <w:spacing w:after="30" w:before="30"/>
              <w:jc w:val="center"/>
            </w:pPr>
            <w:r>
              <w:rPr>
                <w:rFonts w:ascii="Calibri" w:cs="Calibri" w:eastAsia="Calibri" w:hAnsi="Calibri"/>
                <w:b/>
                <w:bCs/>
                <w:color w:val="FFFFFF"/>
                <w:sz w:val="21"/>
                <w:szCs w:val="21"/>
              </w:rPr>
              <w:t xml:space="preserve">#</w:t>
            </w:r>
          </w:p>
        </w:tc>
        <w:tc>
          <w:tcPr>
            <w:tcW w:type="dxa" w:w="3000"/>
            <w:tcBorders>
              <w:top w:val="single" w:color="BFBFBF" w:sz="4"/>
              <w:left w:val="single" w:color="BFBFBF" w:sz="4"/>
              <w:bottom w:val="single" w:color="BFBFBF" w:sz="4"/>
              <w:right w:val="single" w:color="BFBFBF" w:sz="4"/>
            </w:tcBorders>
            <w:shd w:fill="C2410C"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1"/>
                <w:szCs w:val="21"/>
              </w:rPr>
              <w:t xml:space="preserve">Field</w:t>
            </w:r>
          </w:p>
        </w:tc>
        <w:tc>
          <w:tcPr>
            <w:tcW w:type="dxa" w:w="5640"/>
            <w:tcBorders>
              <w:top w:val="single" w:color="BFBFBF" w:sz="4"/>
              <w:left w:val="single" w:color="BFBFBF" w:sz="4"/>
              <w:bottom w:val="single" w:color="BFBFBF" w:sz="4"/>
              <w:right w:val="single" w:color="BFBFBF" w:sz="4"/>
            </w:tcBorders>
            <w:shd w:fill="C2410C" w:val="clear"/>
            <w:tcMar>
              <w:top w:type="dxa" w:w="100"/>
              <w:left w:type="dxa" w:w="140"/>
              <w:bottom w:type="dxa" w:w="100"/>
              <w:right w:type="dxa" w:w="140"/>
            </w:tcMar>
            <w:vAlign w:val="center"/>
          </w:tcPr>
          <w:p>
            <w:pPr>
              <w:spacing w:after="30" w:before="30"/>
            </w:pPr>
            <w:r>
              <w:rPr>
                <w:rFonts w:ascii="Calibri" w:cs="Calibri" w:eastAsia="Calibri" w:hAnsi="Calibri"/>
                <w:b/>
                <w:bCs/>
                <w:color w:val="FFFFFF"/>
                <w:sz w:val="21"/>
                <w:szCs w:val="21"/>
              </w:rPr>
              <w:t xml:space="preserve">Source</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1</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Policy Number</w:t>
            </w:r>
          </w:p>
        </w:tc>
        <w:tc>
          <w:tcPr>
            <w:tcW w:type="dxa" w:w="56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AI model — email body and/or attachment</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Effective Date</w:t>
            </w:r>
          </w:p>
        </w:tc>
        <w:tc>
          <w:tcPr>
            <w:tcW w:type="dxa" w:w="56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Policy Service API</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3</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Expiration Date</w:t>
            </w:r>
          </w:p>
        </w:tc>
        <w:tc>
          <w:tcPr>
            <w:tcW w:type="dxa" w:w="56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Policy Service API</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4</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Insured Name</w:t>
            </w:r>
          </w:p>
        </w:tc>
        <w:tc>
          <w:tcPr>
            <w:tcW w:type="dxa" w:w="56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Policy Service API</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14</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Claimant Type</w:t>
            </w:r>
          </w:p>
        </w:tc>
        <w:tc>
          <w:tcPr>
            <w:tcW w:type="dxa" w:w="56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Policy Service API</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jc w:val="center"/>
            </w:pPr>
            <w:r>
              <w:rPr>
                <w:rFonts w:ascii="Calibri" w:cs="Calibri" w:eastAsia="Calibri" w:hAnsi="Calibri"/>
                <w:b/>
                <w:bCs/>
                <w:sz w:val="21"/>
                <w:szCs w:val="21"/>
              </w:rPr>
              <w:t xml:space="preserve">15</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b/>
                <w:bCs/>
                <w:color w:val="C2410C"/>
                <w:sz w:val="21"/>
                <w:szCs w:val="21"/>
              </w:rPr>
              <w:t xml:space="preserve">Insurance Type</w:t>
            </w:r>
          </w:p>
        </w:tc>
        <w:tc>
          <w:tcPr>
            <w:tcW w:type="dxa" w:w="56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30" w:before="30"/>
            </w:pPr>
            <w:r>
              <w:rPr>
                <w:rFonts w:ascii="Calibri" w:cs="Calibri" w:eastAsia="Calibri" w:hAnsi="Calibri"/>
                <w:sz w:val="21"/>
                <w:szCs w:val="21"/>
              </w:rPr>
              <w:t xml:space="preserve">Policy Service API</w:t>
            </w:r>
          </w:p>
        </w:tc>
      </w:tr>
    </w:tbl>
    <w:p>
      <w:pPr>
        <w:spacing w:after="120"/>
      </w:pPr>
      <w:r>
        <w:t xml:space="preserve"/>
      </w:r>
    </w:p>
    <w:p>
      <w:pPr>
        <w:pStyle w:val="Heading3"/>
        <w:spacing w:after="100" w:before="320"/>
      </w:pPr>
      <w:r>
        <w:rPr>
          <w:rFonts w:ascii="Calibri" w:cs="Calibri" w:eastAsia="Calibri" w:hAnsi="Calibri"/>
          <w:b/>
          <w:bCs/>
          <w:color w:val="C2410C"/>
          <w:sz w:val="22"/>
          <w:szCs w:val="22"/>
        </w:rPr>
        <w:t xml:space="preserve">5.2 Single Policy Number per Submission</w:t>
      </w:r>
    </w:p>
    <w:p>
      <w:pPr>
        <w:spacing w:after="80" w:before="80"/>
      </w:pPr>
      <w:r>
        <w:rPr>
          <w:rFonts w:ascii="Calibri" w:cs="Calibri" w:eastAsia="Calibri" w:hAnsi="Calibri"/>
          <w:sz w:val="22"/>
          <w:szCs w:val="22"/>
        </w:rPr>
        <w:t xml:space="preserve">Only one Policy Number's details may be submitted per case. Where the AI model returns more than one candidate Policy Number from the source document, the user must delete the incorrect entries and retain only the correct Policy Number before submitting the case.</w:t>
      </w:r>
    </w:p>
    <w:p>
      <w:pPr>
        <w:pStyle w:val="Heading3"/>
        <w:spacing w:after="100" w:before="320"/>
      </w:pPr>
      <w:r>
        <w:rPr>
          <w:rFonts w:ascii="Calibri" w:cs="Calibri" w:eastAsia="Calibri" w:hAnsi="Calibri"/>
          <w:b/>
          <w:bCs/>
          <w:color w:val="C2410C"/>
          <w:sz w:val="22"/>
          <w:szCs w:val="22"/>
        </w:rPr>
        <w:t xml:space="preserve">5.3 Open Points for Discussion</w:t>
      </w:r>
    </w:p>
    <w:p>
      <w:pPr>
        <w:pStyle w:val="ListParagraph"/>
        <w:numPr>
          <w:ilvl w:val="0"/>
          <w:numId w:val="2"/>
        </w:numPr>
        <w:spacing w:after="30" w:before="30"/>
      </w:pPr>
      <w:r>
        <w:rPr>
          <w:rFonts w:ascii="Calibri" w:cs="Calibri" w:eastAsia="Calibri" w:hAnsi="Calibri"/>
          <w:sz w:val="22"/>
          <w:szCs w:val="22"/>
        </w:rPr>
        <w:t xml:space="preserve">Full list of Allied World policy number regex patterns to be confirmed and version-controlled in the extraction configuration.</w:t>
      </w:r>
    </w:p>
    <w:p>
      <w:pPr>
        <w:pStyle w:val="ListParagraph"/>
        <w:numPr>
          <w:ilvl w:val="0"/>
          <w:numId w:val="2"/>
        </w:numPr>
        <w:spacing w:after="30" w:before="30"/>
      </w:pPr>
      <w:r>
        <w:rPr>
          <w:rFonts w:ascii="Calibri" w:cs="Calibri" w:eastAsia="Calibri" w:hAnsi="Calibri"/>
          <w:sz w:val="22"/>
          <w:szCs w:val="22"/>
        </w:rPr>
        <w:t xml:space="preserve">Policy Service API contract: endpoint, request and response schema, SLA, and behaviour on miss.</w:t>
      </w:r>
    </w:p>
    <w:p>
      <w:pPr>
        <w:pStyle w:val="ListParagraph"/>
        <w:numPr>
          <w:ilvl w:val="0"/>
          <w:numId w:val="2"/>
        </w:numPr>
        <w:spacing w:after="30" w:before="30"/>
      </w:pPr>
      <w:r>
        <w:rPr>
          <w:rFonts w:ascii="Calibri" w:cs="Calibri" w:eastAsia="Calibri" w:hAnsi="Calibri"/>
          <w:sz w:val="22"/>
          <w:szCs w:val="22"/>
        </w:rPr>
        <w:t xml:space="preserve">Line-of-Business-specific interpretation rules for Claim Date, Accident State, and Claimant Name to be defined and added in a future iteration. In-scope Lines of Business include General Casualty, Medical, Commercial, Miscellaneous E&amp;O, Property, Tech E&amp;O, Cyber, Financial Institutions, Healthcare Management, Lawyers E&amp;O, and GMI.</w:t>
      </w:r>
    </w:p>
    <w:p>
      <w:pPr>
        <w:pStyle w:val="ListParagraph"/>
        <w:numPr>
          <w:ilvl w:val="0"/>
          <w:numId w:val="2"/>
        </w:numPr>
        <w:spacing w:after="30" w:before="30"/>
      </w:pPr>
      <w:r>
        <w:rPr>
          <w:rFonts w:ascii="Calibri" w:cs="Calibri" w:eastAsia="Calibri" w:hAnsi="Calibri"/>
          <w:sz w:val="22"/>
          <w:szCs w:val="22"/>
        </w:rPr>
        <w:t xml:space="preserve">Sequencing for documenting the remaining defaults (Fields #10–#13) and downstream-populated fields (Fields #16–#21) in subsequent iterations.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C2410C"/>
        <w:sz w:val="18"/>
        <w:szCs w:val="18"/>
      </w:rPr>
      <w:t xml:space="preserve">FNOL Field Extraction  ·  </w:t>
    </w:r>
    <w:r>
      <w:rPr>
        <w:rFonts w:ascii="Calibri" w:cs="Calibri" w:eastAsia="Calibri" w:hAnsi="Calibri"/>
        <w:i/>
        <w:iCs/>
        <w:color w:val="595959"/>
        <w:sz w:val="18"/>
        <w:szCs w:val="18"/>
      </w:rPr>
      <w:t xml:space="preserve">Business Rules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C2410C"/>
      <w:sz w:val="28"/>
      <w:szCs w:val="28"/>
    </w:rPr>
  </w:style>
  <w:style w:type="paragraph" w:styleId="Heading3">
    <w:name w:val="Heading 3"/>
    <w:basedOn w:val="Normal"/>
    <w:next w:val="Normal"/>
    <w:qFormat/>
    <w:pPr>
      <w:spacing w:after="100" w:before="320"/>
      <w:outlineLvl w:val="2"/>
    </w:pPr>
    <w:rPr>
      <w:rFonts w:ascii="Calibri" w:cs="Calibri" w:eastAsia="Calibri" w:hAnsi="Calibri"/>
      <w:b/>
      <w:bCs/>
      <w:color w:val="C2410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FNOL Field Extraction — Business Rules v15</dc:title>
  <dc:creator>Sinn Ogg — Claims Intake Project</dc:creator>
  <cp:lastModifiedBy>Un-named</cp:lastModifiedBy>
  <cp:revision>1</cp:revision>
  <dcterms:created xsi:type="dcterms:W3CDTF">2026-06-01T12:04:49.037Z</dcterms:created>
  <dcterms:modified xsi:type="dcterms:W3CDTF">2026-06-01T12:04:49.038Z</dcterms:modified>
</cp:coreProperties>
</file>

<file path=docProps/custom.xml><?xml version="1.0" encoding="utf-8"?>
<Properties xmlns="http://schemas.openxmlformats.org/officeDocument/2006/custom-properties" xmlns:vt="http://schemas.openxmlformats.org/officeDocument/2006/docPropsVTypes"/>
</file>