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D57" w:rsidRPr="00EA0FE3" w:rsidRDefault="00323D57" w:rsidP="00516028">
      <w:pPr>
        <w:jc w:val="center"/>
        <w:rPr>
          <w:rFonts w:cs="Times New Roman"/>
          <w:b/>
        </w:rPr>
      </w:pPr>
      <w:bookmarkStart w:id="0" w:name="_Toc286826570"/>
      <w:bookmarkStart w:id="1" w:name="_Toc286858790"/>
      <w:bookmarkStart w:id="2" w:name="_GoBack"/>
      <w:bookmarkEnd w:id="2"/>
      <w:r w:rsidRPr="00EA0FE3">
        <w:rPr>
          <w:rFonts w:cs="Times New Roman"/>
          <w:b/>
        </w:rPr>
        <w:t>ADDENDUM TO LETTER OF UNDERSTANDING AND AGREEMENT</w:t>
      </w:r>
      <w:bookmarkEnd w:id="0"/>
      <w:bookmarkEnd w:id="1"/>
    </w:p>
    <w:p w:rsidR="00323D57" w:rsidRPr="00EA0FE3" w:rsidRDefault="00323D57" w:rsidP="00323D57">
      <w:pPr>
        <w:jc w:val="center"/>
        <w:rPr>
          <w:rFonts w:cs="Times New Roman"/>
          <w:b/>
          <w:szCs w:val="24"/>
        </w:rPr>
      </w:pPr>
      <w:r w:rsidRPr="00EA0FE3">
        <w:rPr>
          <w:rFonts w:cs="Times New Roman"/>
          <w:b/>
          <w:szCs w:val="24"/>
        </w:rPr>
        <w:t>ISSUED BY AND BETWEEN</w:t>
      </w:r>
    </w:p>
    <w:p w:rsidR="00323D57" w:rsidRPr="00EA0FE3" w:rsidRDefault="00323D57" w:rsidP="00323D57">
      <w:pPr>
        <w:jc w:val="center"/>
        <w:rPr>
          <w:rFonts w:cs="Times New Roman"/>
          <w:b/>
          <w:szCs w:val="24"/>
        </w:rPr>
      </w:pPr>
      <w:r w:rsidRPr="00EA0FE3">
        <w:rPr>
          <w:rFonts w:cs="Times New Roman"/>
          <w:b/>
          <w:szCs w:val="24"/>
        </w:rPr>
        <w:t>THE NATIONAL CREDIT UNION ADMINISTRATION</w:t>
      </w:r>
    </w:p>
    <w:p w:rsidR="00323D57" w:rsidRPr="00EA0FE3" w:rsidRDefault="009C4AED" w:rsidP="00323D57">
      <w:pPr>
        <w:jc w:val="center"/>
        <w:rPr>
          <w:rFonts w:cs="Times New Roman"/>
          <w:b/>
          <w:szCs w:val="24"/>
        </w:rPr>
      </w:pPr>
      <w:r>
        <w:rPr>
          <w:rFonts w:cs="Times New Roman"/>
          <w:b/>
          <w:szCs w:val="24"/>
        </w:rPr>
        <w:t>AND</w:t>
      </w:r>
    </w:p>
    <w:p w:rsidR="00323D57" w:rsidRPr="00EA0FE3" w:rsidRDefault="00646B40" w:rsidP="00323D57">
      <w:pPr>
        <w:jc w:val="center"/>
        <w:rPr>
          <w:rFonts w:cs="Times New Roman"/>
          <w:b/>
          <w:szCs w:val="24"/>
        </w:rPr>
      </w:pPr>
      <w:r w:rsidRPr="00EA0FE3">
        <w:rPr>
          <w:rFonts w:cs="Times New Roman"/>
          <w:b/>
          <w:szCs w:val="24"/>
        </w:rPr>
        <w:t>[NAME]</w:t>
      </w:r>
      <w:r w:rsidR="00323D57" w:rsidRPr="00EA0FE3">
        <w:rPr>
          <w:rFonts w:cs="Times New Roman"/>
          <w:b/>
          <w:szCs w:val="24"/>
        </w:rPr>
        <w:t xml:space="preserve"> FEDERAL CREDIT UNION</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t>This addendum amends item two and eliminates item three of the Letter of Understanding and Agreement (</w:t>
      </w:r>
      <w:proofErr w:type="spellStart"/>
      <w:r w:rsidRPr="00EA0FE3">
        <w:rPr>
          <w:rFonts w:cs="Times New Roman"/>
          <w:szCs w:val="24"/>
        </w:rPr>
        <w:t>LUA</w:t>
      </w:r>
      <w:proofErr w:type="spellEnd"/>
      <w:r w:rsidRPr="00EA0FE3">
        <w:rPr>
          <w:rFonts w:cs="Times New Roman"/>
          <w:szCs w:val="24"/>
        </w:rPr>
        <w:t xml:space="preserve">), signed by the Regional Director on (date). All other items of the </w:t>
      </w:r>
      <w:proofErr w:type="spellStart"/>
      <w:r w:rsidRPr="00EA0FE3">
        <w:rPr>
          <w:rFonts w:cs="Times New Roman"/>
          <w:szCs w:val="24"/>
        </w:rPr>
        <w:t>LUA</w:t>
      </w:r>
      <w:proofErr w:type="spellEnd"/>
      <w:r w:rsidRPr="00EA0FE3">
        <w:rPr>
          <w:rFonts w:cs="Times New Roman"/>
          <w:szCs w:val="24"/>
        </w:rPr>
        <w:t xml:space="preserve"> remain in effect.</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t>We are amending item number two as follows:</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t xml:space="preserve">The Board of Directors will assure the credit union’s operations will achieve a ratio of net income to average assets of, at least, one percent for the year-ending December 31, </w:t>
      </w:r>
      <w:proofErr w:type="spellStart"/>
      <w:r w:rsidR="00646B40" w:rsidRPr="00EA0FE3">
        <w:rPr>
          <w:rFonts w:cs="Times New Roman"/>
          <w:szCs w:val="24"/>
        </w:rPr>
        <w:t>XXXX</w:t>
      </w:r>
      <w:proofErr w:type="spellEnd"/>
      <w:r w:rsidRPr="00EA0FE3">
        <w:rPr>
          <w:rFonts w:cs="Times New Roman"/>
          <w:szCs w:val="24"/>
        </w:rPr>
        <w:t xml:space="preserve">, and each year thereafter until the capital goals of the </w:t>
      </w:r>
      <w:proofErr w:type="spellStart"/>
      <w:r w:rsidRPr="00EA0FE3">
        <w:rPr>
          <w:rFonts w:cs="Times New Roman"/>
          <w:szCs w:val="24"/>
        </w:rPr>
        <w:t>LUA</w:t>
      </w:r>
      <w:proofErr w:type="spellEnd"/>
      <w:r w:rsidRPr="00EA0FE3">
        <w:rPr>
          <w:rFonts w:cs="Times New Roman"/>
          <w:szCs w:val="24"/>
        </w:rPr>
        <w:t xml:space="preserve"> are satisfied. For purposes of this Agreement, we define net income as all income remaining after accounting for all expenses including dividends on share accounts and the requirements for Full and Fair Disclosure as required by Section 702.3 of the NCUA </w:t>
      </w:r>
      <w:r w:rsidR="0017666A">
        <w:rPr>
          <w:rFonts w:cs="Times New Roman"/>
          <w:szCs w:val="24"/>
        </w:rPr>
        <w:t>rules and regulations</w:t>
      </w:r>
      <w:r w:rsidRPr="00EA0FE3">
        <w:rPr>
          <w:rFonts w:cs="Times New Roman"/>
          <w:szCs w:val="24"/>
        </w:rPr>
        <w:t>.</w:t>
      </w:r>
    </w:p>
    <w:p w:rsidR="00323D57" w:rsidRPr="00EA0FE3" w:rsidRDefault="00323D57" w:rsidP="00323D57">
      <w:pPr>
        <w:rPr>
          <w:rFonts w:cs="Times New Roman"/>
          <w:szCs w:val="24"/>
        </w:rPr>
      </w:pPr>
    </w:p>
    <w:p w:rsidR="00323D57" w:rsidRPr="00EA0FE3" w:rsidRDefault="00323D57" w:rsidP="00323D57">
      <w:pPr>
        <w:rPr>
          <w:rFonts w:cs="Times New Roman"/>
          <w:b/>
          <w:szCs w:val="24"/>
        </w:rPr>
      </w:pPr>
      <w:r w:rsidRPr="00EA0FE3">
        <w:rPr>
          <w:rFonts w:cs="Times New Roman"/>
          <w:b/>
          <w:szCs w:val="24"/>
        </w:rPr>
        <w:t xml:space="preserve">For the </w:t>
      </w:r>
      <w:r w:rsidR="00646B40" w:rsidRPr="00EA0FE3">
        <w:rPr>
          <w:rFonts w:cs="Times New Roman"/>
          <w:b/>
          <w:szCs w:val="24"/>
        </w:rPr>
        <w:t xml:space="preserve">[Name] </w:t>
      </w:r>
      <w:r w:rsidRPr="00EA0FE3">
        <w:rPr>
          <w:rFonts w:cs="Times New Roman"/>
          <w:b/>
          <w:szCs w:val="24"/>
        </w:rPr>
        <w:t>Federal Credit Union:</w:t>
      </w:r>
    </w:p>
    <w:p w:rsidR="00323D57" w:rsidRPr="00EA0FE3" w:rsidRDefault="00323D57" w:rsidP="00323D57">
      <w:pPr>
        <w:rPr>
          <w:rFonts w:cs="Times New Roman"/>
          <w:szCs w:val="24"/>
        </w:rPr>
      </w:pPr>
    </w:p>
    <w:p w:rsidR="00323D57" w:rsidRPr="00EA0FE3" w:rsidRDefault="00323D57" w:rsidP="00323D57">
      <w:pPr>
        <w:rPr>
          <w:rFonts w:cs="Times New Roman"/>
          <w:szCs w:val="24"/>
        </w:rPr>
      </w:pPr>
    </w:p>
    <w:p w:rsidR="00323D57" w:rsidRPr="00EA0FE3" w:rsidRDefault="00323D57" w:rsidP="00D9198C">
      <w:pPr>
        <w:tabs>
          <w:tab w:val="right" w:pos="4320"/>
          <w:tab w:val="left" w:pos="5760"/>
          <w:tab w:val="right" w:pos="7920"/>
        </w:tabs>
        <w:rPr>
          <w:rFonts w:cs="Times New Roman"/>
          <w:szCs w:val="24"/>
        </w:rPr>
      </w:pPr>
      <w:r w:rsidRPr="00EA0FE3">
        <w:rPr>
          <w:rFonts w:cs="Times New Roman"/>
          <w:szCs w:val="24"/>
          <w:u w:val="single"/>
        </w:rPr>
        <w:tab/>
      </w:r>
      <w:r w:rsidRPr="00EA0FE3">
        <w:rPr>
          <w:rFonts w:cs="Times New Roman"/>
          <w:szCs w:val="24"/>
        </w:rPr>
        <w:tab/>
      </w:r>
      <w:r w:rsidRPr="00EA0FE3">
        <w:rPr>
          <w:rFonts w:cs="Times New Roman"/>
          <w:szCs w:val="24"/>
          <w:u w:val="single"/>
        </w:rPr>
        <w:tab/>
      </w:r>
    </w:p>
    <w:p w:rsidR="00323D57" w:rsidRPr="00EA0FE3" w:rsidRDefault="00323D57" w:rsidP="00D9198C">
      <w:pPr>
        <w:tabs>
          <w:tab w:val="right" w:pos="4320"/>
          <w:tab w:val="left" w:pos="5760"/>
          <w:tab w:val="right" w:pos="7920"/>
        </w:tabs>
        <w:rPr>
          <w:rFonts w:cs="Times New Roman"/>
          <w:szCs w:val="24"/>
        </w:rPr>
      </w:pPr>
      <w:r w:rsidRPr="00EA0FE3">
        <w:rPr>
          <w:rFonts w:cs="Times New Roman"/>
          <w:szCs w:val="24"/>
        </w:rPr>
        <w:t>Chairperson</w:t>
      </w:r>
      <w:r w:rsidRPr="00EA0FE3">
        <w:rPr>
          <w:rFonts w:cs="Times New Roman"/>
          <w:szCs w:val="24"/>
        </w:rPr>
        <w:tab/>
      </w:r>
      <w:r w:rsidRPr="00EA0FE3">
        <w:rPr>
          <w:rFonts w:cs="Times New Roman"/>
          <w:szCs w:val="24"/>
        </w:rPr>
        <w:tab/>
        <w:t>Date</w:t>
      </w:r>
    </w:p>
    <w:p w:rsidR="00323D57" w:rsidRPr="00EA0FE3" w:rsidRDefault="00323D57" w:rsidP="00D9198C">
      <w:pPr>
        <w:tabs>
          <w:tab w:val="right" w:pos="4320"/>
          <w:tab w:val="left" w:pos="5760"/>
          <w:tab w:val="right" w:pos="7920"/>
        </w:tabs>
        <w:rPr>
          <w:rFonts w:cs="Times New Roman"/>
          <w:szCs w:val="24"/>
        </w:rPr>
      </w:pPr>
    </w:p>
    <w:p w:rsidR="00323D57" w:rsidRPr="00EA0FE3" w:rsidRDefault="00323D57" w:rsidP="00D9198C">
      <w:pPr>
        <w:tabs>
          <w:tab w:val="right" w:pos="4320"/>
          <w:tab w:val="left" w:pos="5760"/>
          <w:tab w:val="right" w:pos="7920"/>
        </w:tabs>
        <w:rPr>
          <w:rFonts w:cs="Times New Roman"/>
          <w:szCs w:val="24"/>
        </w:rPr>
      </w:pPr>
    </w:p>
    <w:p w:rsidR="00323D57" w:rsidRPr="00EA0FE3" w:rsidRDefault="00323D57" w:rsidP="00D9198C">
      <w:pPr>
        <w:tabs>
          <w:tab w:val="right" w:pos="4320"/>
          <w:tab w:val="left" w:pos="5760"/>
          <w:tab w:val="right" w:pos="7920"/>
        </w:tabs>
        <w:rPr>
          <w:rFonts w:cs="Times New Roman"/>
          <w:szCs w:val="24"/>
        </w:rPr>
      </w:pPr>
      <w:r w:rsidRPr="00EA0FE3">
        <w:rPr>
          <w:rFonts w:cs="Times New Roman"/>
          <w:szCs w:val="24"/>
          <w:u w:val="single"/>
        </w:rPr>
        <w:tab/>
      </w:r>
      <w:r w:rsidRPr="00EA0FE3">
        <w:rPr>
          <w:rFonts w:cs="Times New Roman"/>
          <w:szCs w:val="24"/>
        </w:rPr>
        <w:tab/>
      </w:r>
      <w:r w:rsidRPr="00EA0FE3">
        <w:rPr>
          <w:rFonts w:cs="Times New Roman"/>
          <w:szCs w:val="24"/>
          <w:u w:val="single"/>
        </w:rPr>
        <w:tab/>
      </w:r>
    </w:p>
    <w:p w:rsidR="00323D57" w:rsidRPr="00EA0FE3" w:rsidRDefault="00323D57" w:rsidP="00D9198C">
      <w:pPr>
        <w:tabs>
          <w:tab w:val="right" w:pos="4320"/>
          <w:tab w:val="left" w:pos="5760"/>
          <w:tab w:val="right" w:pos="7920"/>
        </w:tabs>
        <w:rPr>
          <w:rFonts w:cs="Times New Roman"/>
          <w:szCs w:val="24"/>
        </w:rPr>
      </w:pPr>
      <w:r w:rsidRPr="00EA0FE3">
        <w:rPr>
          <w:rFonts w:cs="Times New Roman"/>
          <w:szCs w:val="24"/>
        </w:rPr>
        <w:t>Treasurer</w:t>
      </w:r>
      <w:r w:rsidRPr="00EA0FE3">
        <w:rPr>
          <w:rFonts w:cs="Times New Roman"/>
          <w:szCs w:val="24"/>
        </w:rPr>
        <w:tab/>
      </w:r>
      <w:r w:rsidRPr="00EA0FE3">
        <w:rPr>
          <w:rFonts w:cs="Times New Roman"/>
          <w:szCs w:val="24"/>
        </w:rPr>
        <w:tab/>
        <w:t>Date</w:t>
      </w:r>
    </w:p>
    <w:p w:rsidR="00323D57" w:rsidRPr="00EA0FE3" w:rsidRDefault="00323D57" w:rsidP="00D9198C">
      <w:pPr>
        <w:tabs>
          <w:tab w:val="right" w:pos="4320"/>
          <w:tab w:val="left" w:pos="5760"/>
          <w:tab w:val="right" w:pos="7920"/>
        </w:tabs>
        <w:rPr>
          <w:rFonts w:cs="Times New Roman"/>
          <w:szCs w:val="24"/>
        </w:rPr>
      </w:pPr>
    </w:p>
    <w:p w:rsidR="00323D57" w:rsidRPr="00EA0FE3" w:rsidRDefault="00323D57" w:rsidP="00D9198C">
      <w:pPr>
        <w:tabs>
          <w:tab w:val="right" w:pos="4320"/>
          <w:tab w:val="left" w:pos="5760"/>
          <w:tab w:val="right" w:pos="7920"/>
        </w:tabs>
        <w:rPr>
          <w:rFonts w:cs="Times New Roman"/>
          <w:szCs w:val="24"/>
        </w:rPr>
      </w:pPr>
    </w:p>
    <w:p w:rsidR="00323D57" w:rsidRPr="00EA0FE3" w:rsidRDefault="00323D57" w:rsidP="00D9198C">
      <w:pPr>
        <w:tabs>
          <w:tab w:val="right" w:pos="4320"/>
          <w:tab w:val="left" w:pos="5760"/>
          <w:tab w:val="right" w:pos="7920"/>
        </w:tabs>
        <w:rPr>
          <w:rFonts w:cs="Times New Roman"/>
          <w:szCs w:val="24"/>
        </w:rPr>
      </w:pPr>
      <w:r w:rsidRPr="00EA0FE3">
        <w:rPr>
          <w:rFonts w:cs="Times New Roman"/>
          <w:szCs w:val="24"/>
          <w:u w:val="single"/>
        </w:rPr>
        <w:tab/>
      </w:r>
      <w:r w:rsidRPr="00EA0FE3">
        <w:rPr>
          <w:rFonts w:cs="Times New Roman"/>
          <w:szCs w:val="24"/>
        </w:rPr>
        <w:tab/>
      </w:r>
      <w:r w:rsidRPr="00EA0FE3">
        <w:rPr>
          <w:rFonts w:cs="Times New Roman"/>
          <w:szCs w:val="24"/>
          <w:u w:val="single"/>
        </w:rPr>
        <w:tab/>
      </w:r>
    </w:p>
    <w:p w:rsidR="00323D57" w:rsidRPr="00EA0FE3" w:rsidRDefault="00323D57" w:rsidP="00D9198C">
      <w:pPr>
        <w:tabs>
          <w:tab w:val="right" w:pos="4320"/>
          <w:tab w:val="left" w:pos="5760"/>
          <w:tab w:val="right" w:pos="7920"/>
        </w:tabs>
        <w:rPr>
          <w:rFonts w:cs="Times New Roman"/>
          <w:szCs w:val="24"/>
        </w:rPr>
      </w:pPr>
      <w:r w:rsidRPr="00EA0FE3">
        <w:rPr>
          <w:rFonts w:cs="Times New Roman"/>
          <w:szCs w:val="24"/>
        </w:rPr>
        <w:t>Secretary</w:t>
      </w:r>
      <w:r w:rsidRPr="00EA0FE3">
        <w:rPr>
          <w:rFonts w:cs="Times New Roman"/>
          <w:szCs w:val="24"/>
        </w:rPr>
        <w:tab/>
      </w:r>
      <w:r w:rsidRPr="00EA0FE3">
        <w:rPr>
          <w:rFonts w:cs="Times New Roman"/>
          <w:szCs w:val="24"/>
        </w:rPr>
        <w:tab/>
        <w:t>Date</w:t>
      </w:r>
    </w:p>
    <w:p w:rsidR="00323D57" w:rsidRDefault="00323D57" w:rsidP="00D9198C">
      <w:pPr>
        <w:tabs>
          <w:tab w:val="right" w:pos="4320"/>
          <w:tab w:val="left" w:pos="5760"/>
          <w:tab w:val="right" w:pos="7920"/>
        </w:tabs>
        <w:rPr>
          <w:rFonts w:cs="Times New Roman"/>
          <w:szCs w:val="24"/>
        </w:rPr>
      </w:pPr>
    </w:p>
    <w:p w:rsidR="00D9198C" w:rsidRPr="00EA0FE3" w:rsidRDefault="00D9198C" w:rsidP="00D9198C">
      <w:pPr>
        <w:tabs>
          <w:tab w:val="right" w:pos="4320"/>
          <w:tab w:val="left" w:pos="5760"/>
          <w:tab w:val="right" w:pos="7920"/>
        </w:tabs>
        <w:rPr>
          <w:rFonts w:cs="Times New Roman"/>
          <w:szCs w:val="24"/>
        </w:rPr>
      </w:pPr>
    </w:p>
    <w:p w:rsidR="00323D57" w:rsidRPr="00EA0FE3" w:rsidRDefault="00323D57" w:rsidP="00D9198C">
      <w:pPr>
        <w:tabs>
          <w:tab w:val="right" w:pos="4320"/>
          <w:tab w:val="left" w:pos="5760"/>
          <w:tab w:val="right" w:pos="7920"/>
        </w:tabs>
        <w:rPr>
          <w:rFonts w:cs="Times New Roman"/>
          <w:b/>
          <w:szCs w:val="24"/>
        </w:rPr>
      </w:pPr>
      <w:r w:rsidRPr="00EA0FE3">
        <w:rPr>
          <w:rFonts w:cs="Times New Roman"/>
          <w:b/>
          <w:szCs w:val="24"/>
        </w:rPr>
        <w:t>For the National Credit Union Administration:</w:t>
      </w:r>
    </w:p>
    <w:p w:rsidR="00323D57" w:rsidRPr="00EA0FE3" w:rsidRDefault="00323D57" w:rsidP="00D9198C">
      <w:pPr>
        <w:tabs>
          <w:tab w:val="right" w:pos="4320"/>
          <w:tab w:val="left" w:pos="5760"/>
          <w:tab w:val="right" w:pos="7920"/>
        </w:tabs>
        <w:rPr>
          <w:rFonts w:cs="Times New Roman"/>
          <w:szCs w:val="24"/>
        </w:rPr>
      </w:pPr>
    </w:p>
    <w:p w:rsidR="00323D57" w:rsidRPr="00EA0FE3" w:rsidRDefault="00323D57" w:rsidP="00D9198C">
      <w:pPr>
        <w:tabs>
          <w:tab w:val="right" w:pos="4320"/>
          <w:tab w:val="left" w:pos="5760"/>
          <w:tab w:val="right" w:pos="7920"/>
        </w:tabs>
        <w:rPr>
          <w:rFonts w:cs="Times New Roman"/>
          <w:szCs w:val="24"/>
          <w:u w:val="single"/>
        </w:rPr>
      </w:pPr>
      <w:r w:rsidRPr="00EA0FE3">
        <w:rPr>
          <w:rFonts w:cs="Times New Roman"/>
          <w:szCs w:val="24"/>
          <w:u w:val="single"/>
        </w:rPr>
        <w:tab/>
      </w:r>
      <w:r w:rsidRPr="00EA0FE3">
        <w:rPr>
          <w:rFonts w:cs="Times New Roman"/>
          <w:szCs w:val="24"/>
        </w:rPr>
        <w:tab/>
      </w:r>
      <w:r w:rsidRPr="00EA0FE3">
        <w:rPr>
          <w:rFonts w:cs="Times New Roman"/>
          <w:szCs w:val="24"/>
          <w:u w:val="single"/>
        </w:rPr>
        <w:tab/>
      </w:r>
    </w:p>
    <w:p w:rsidR="00323D57" w:rsidRPr="00EA0FE3" w:rsidRDefault="00323D57" w:rsidP="00D9198C">
      <w:pPr>
        <w:tabs>
          <w:tab w:val="right" w:pos="4320"/>
          <w:tab w:val="left" w:pos="5760"/>
          <w:tab w:val="right" w:pos="7920"/>
        </w:tabs>
        <w:rPr>
          <w:rFonts w:cs="Times New Roman"/>
          <w:szCs w:val="24"/>
        </w:rPr>
      </w:pPr>
      <w:r w:rsidRPr="00EA0FE3">
        <w:rPr>
          <w:rFonts w:cs="Times New Roman"/>
          <w:szCs w:val="24"/>
        </w:rPr>
        <w:t>Regional Director</w:t>
      </w:r>
      <w:r w:rsidRPr="00EA0FE3">
        <w:rPr>
          <w:rFonts w:cs="Times New Roman"/>
          <w:szCs w:val="24"/>
        </w:rPr>
        <w:tab/>
      </w:r>
      <w:r w:rsidRPr="00EA0FE3">
        <w:rPr>
          <w:rFonts w:cs="Times New Roman"/>
          <w:szCs w:val="24"/>
        </w:rPr>
        <w:tab/>
        <w:t>Date</w:t>
      </w:r>
    </w:p>
    <w:p w:rsidR="00323D57" w:rsidRPr="00EA0FE3" w:rsidRDefault="00323D57" w:rsidP="00D9198C">
      <w:pPr>
        <w:tabs>
          <w:tab w:val="right" w:pos="4320"/>
          <w:tab w:val="left" w:pos="5760"/>
          <w:tab w:val="right" w:pos="7920"/>
        </w:tabs>
        <w:rPr>
          <w:rFonts w:cs="Times New Roman"/>
          <w:szCs w:val="24"/>
        </w:rPr>
      </w:pPr>
    </w:p>
    <w:p w:rsidR="00323D57" w:rsidRPr="00EA0FE3" w:rsidRDefault="00323D57" w:rsidP="00D9198C">
      <w:pPr>
        <w:tabs>
          <w:tab w:val="right" w:pos="4320"/>
          <w:tab w:val="left" w:pos="5760"/>
          <w:tab w:val="right" w:pos="7920"/>
        </w:tabs>
        <w:rPr>
          <w:rFonts w:cs="Times New Roman"/>
          <w:szCs w:val="24"/>
        </w:rPr>
      </w:pPr>
    </w:p>
    <w:p w:rsidR="00323D57" w:rsidRPr="00EA0FE3" w:rsidRDefault="00323D57" w:rsidP="00D9198C">
      <w:pPr>
        <w:tabs>
          <w:tab w:val="right" w:pos="4320"/>
          <w:tab w:val="left" w:pos="5760"/>
          <w:tab w:val="right" w:pos="7920"/>
        </w:tabs>
        <w:rPr>
          <w:rFonts w:cs="Times New Roman"/>
          <w:szCs w:val="24"/>
          <w:u w:val="single"/>
        </w:rPr>
      </w:pPr>
      <w:r w:rsidRPr="00EA0FE3">
        <w:rPr>
          <w:rFonts w:cs="Times New Roman"/>
          <w:szCs w:val="24"/>
          <w:u w:val="single"/>
        </w:rPr>
        <w:tab/>
      </w:r>
      <w:r w:rsidRPr="00EA0FE3">
        <w:rPr>
          <w:rFonts w:cs="Times New Roman"/>
          <w:szCs w:val="24"/>
        </w:rPr>
        <w:tab/>
      </w:r>
      <w:r w:rsidRPr="00EA0FE3">
        <w:rPr>
          <w:rFonts w:cs="Times New Roman"/>
          <w:szCs w:val="24"/>
          <w:u w:val="single"/>
        </w:rPr>
        <w:tab/>
      </w:r>
    </w:p>
    <w:p w:rsidR="00323D57" w:rsidRPr="00EA0FE3" w:rsidRDefault="00323D57" w:rsidP="00D9198C">
      <w:pPr>
        <w:tabs>
          <w:tab w:val="right" w:pos="4320"/>
          <w:tab w:val="left" w:pos="5760"/>
          <w:tab w:val="right" w:pos="7920"/>
        </w:tabs>
        <w:rPr>
          <w:rFonts w:cs="Times New Roman"/>
          <w:szCs w:val="24"/>
        </w:rPr>
      </w:pPr>
      <w:r w:rsidRPr="00EA0FE3">
        <w:rPr>
          <w:rFonts w:cs="Times New Roman"/>
          <w:szCs w:val="24"/>
        </w:rPr>
        <w:t>Supervisory Examiner</w:t>
      </w:r>
      <w:r w:rsidRPr="00EA0FE3">
        <w:rPr>
          <w:rFonts w:cs="Times New Roman"/>
          <w:szCs w:val="24"/>
        </w:rPr>
        <w:tab/>
      </w:r>
      <w:r w:rsidRPr="00EA0FE3">
        <w:rPr>
          <w:rFonts w:cs="Times New Roman"/>
          <w:szCs w:val="24"/>
        </w:rPr>
        <w:tab/>
        <w:t>Date</w:t>
      </w:r>
    </w:p>
    <w:p w:rsidR="00323D57" w:rsidRPr="00EA0FE3" w:rsidRDefault="00323D57" w:rsidP="00D9198C">
      <w:pPr>
        <w:tabs>
          <w:tab w:val="right" w:pos="4320"/>
          <w:tab w:val="left" w:pos="5760"/>
          <w:tab w:val="right" w:pos="7920"/>
        </w:tabs>
        <w:rPr>
          <w:rFonts w:cs="Times New Roman"/>
          <w:szCs w:val="24"/>
        </w:rPr>
      </w:pPr>
    </w:p>
    <w:p w:rsidR="00323D57" w:rsidRPr="00EA0FE3" w:rsidRDefault="00323D57" w:rsidP="00D9198C">
      <w:pPr>
        <w:tabs>
          <w:tab w:val="right" w:pos="4320"/>
          <w:tab w:val="left" w:pos="5760"/>
          <w:tab w:val="right" w:pos="7920"/>
        </w:tabs>
        <w:rPr>
          <w:rFonts w:cs="Times New Roman"/>
          <w:szCs w:val="24"/>
        </w:rPr>
      </w:pPr>
    </w:p>
    <w:p w:rsidR="00150915" w:rsidRPr="00EA0FE3" w:rsidRDefault="00323D57" w:rsidP="009C4AED">
      <w:pPr>
        <w:tabs>
          <w:tab w:val="right" w:pos="4320"/>
          <w:tab w:val="left" w:pos="5760"/>
          <w:tab w:val="right" w:pos="7920"/>
        </w:tabs>
        <w:rPr>
          <w:rFonts w:cs="Times New Roman"/>
        </w:rPr>
      </w:pPr>
      <w:r w:rsidRPr="00EA0FE3">
        <w:rPr>
          <w:rFonts w:cs="Times New Roman"/>
          <w:szCs w:val="24"/>
          <w:u w:val="single"/>
        </w:rPr>
        <w:tab/>
      </w:r>
      <w:r w:rsidRPr="00EA0FE3">
        <w:rPr>
          <w:rFonts w:cs="Times New Roman"/>
          <w:szCs w:val="24"/>
        </w:rPr>
        <w:tab/>
      </w:r>
      <w:r w:rsidRPr="00EA0FE3">
        <w:rPr>
          <w:rFonts w:cs="Times New Roman"/>
          <w:szCs w:val="24"/>
          <w:u w:val="single"/>
        </w:rPr>
        <w:tab/>
      </w:r>
    </w:p>
    <w:sectPr w:rsidR="00150915" w:rsidRPr="00EA0FE3" w:rsidSect="00D61B2A">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B5A" w:rsidRDefault="00451B5A" w:rsidP="00003698">
      <w:r>
        <w:separator/>
      </w:r>
    </w:p>
  </w:endnote>
  <w:endnote w:type="continuationSeparator" w:id="0">
    <w:p w:rsidR="00451B5A" w:rsidRDefault="00451B5A" w:rsidP="00003698">
      <w:r>
        <w:continuationSeparator/>
      </w:r>
    </w:p>
  </w:endnote>
  <w:endnote w:type="continuationNotice" w:id="1">
    <w:p w:rsidR="00451B5A" w:rsidRDefault="00451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B5A" w:rsidRDefault="00451B5A" w:rsidP="00003698">
      <w:r>
        <w:separator/>
      </w:r>
    </w:p>
  </w:footnote>
  <w:footnote w:type="continuationSeparator" w:id="0">
    <w:p w:rsidR="00451B5A" w:rsidRDefault="00451B5A" w:rsidP="00003698">
      <w:r>
        <w:continuationSeparator/>
      </w:r>
    </w:p>
  </w:footnote>
  <w:footnote w:type="continuationNotice" w:id="1">
    <w:p w:rsidR="00451B5A" w:rsidRDefault="00451B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787" w:rsidRDefault="00367CB7" w:rsidP="00E81787">
    <w:pPr>
      <w:pStyle w:val="Heading1"/>
    </w:pPr>
    <w:bookmarkStart w:id="3" w:name="_Toc410730864"/>
    <w:bookmarkStart w:id="4" w:name="_Toc374715954"/>
    <w:bookmarkStart w:id="5" w:name="_Toc350243830"/>
    <w:bookmarkStart w:id="6" w:name="_Toc378338555"/>
    <w:bookmarkStart w:id="7" w:name="_Toc286826569"/>
    <w:bookmarkStart w:id="8" w:name="_Toc287274052"/>
    <w:bookmarkStart w:id="9" w:name="appendix11g"/>
    <w:bookmarkStart w:id="10" w:name="_Toc374716194"/>
    <w:bookmarkStart w:id="11" w:name="_Toc350244022"/>
    <w:bookmarkStart w:id="12" w:name="_Toc378338798"/>
    <w:bookmarkStart w:id="13" w:name="_Toc410730934"/>
    <w:bookmarkStart w:id="14" w:name="_Toc287274044"/>
    <w:bookmarkStart w:id="15" w:name="_Toc374716188"/>
    <w:bookmarkStart w:id="16" w:name="_Toc350244016"/>
    <w:bookmarkStart w:id="17" w:name="_Toc378338792"/>
    <w:bookmarkStart w:id="18" w:name="_Toc410730931"/>
    <w:bookmarkStart w:id="19" w:name="Appendix11D"/>
    <w:r>
      <w:t xml:space="preserve">Template: </w:t>
    </w:r>
    <w:proofErr w:type="spellStart"/>
    <w:r>
      <w:t>LUA</w:t>
    </w:r>
    <w:proofErr w:type="spellEnd"/>
    <w:r>
      <w:t xml:space="preserve"> Addendum</w:t>
    </w:r>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6E81"/>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2D08"/>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67CB7"/>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1B5A"/>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4FA"/>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AB8"/>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AED"/>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372C8"/>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1E4"/>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B3"/>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1B2A"/>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C88"/>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1D6C"/>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787"/>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3.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CC5674A6-BC01-4F15-9AEC-3835675ABA5A}">
  <ds:schemaRefs>
    <ds:schemaRef ds:uri="http://schemas.openxmlformats.org/officeDocument/2006/bibliography"/>
  </ds:schemaRefs>
</ds:datastoreItem>
</file>

<file path=customXml/itemProps6.xml><?xml version="1.0" encoding="utf-8"?>
<ds:datastoreItem xmlns:ds="http://schemas.openxmlformats.org/officeDocument/2006/customXml" ds:itemID="{9BBE36F1-0838-4E04-960D-B53AD6CEAD65}">
  <ds:schemaRefs>
    <ds:schemaRef ds:uri="http://schemas.openxmlformats.org/officeDocument/2006/bibliography"/>
  </ds:schemaRefs>
</ds:datastoreItem>
</file>

<file path=customXml/itemProps7.xml><?xml version="1.0" encoding="utf-8"?>
<ds:datastoreItem xmlns:ds="http://schemas.openxmlformats.org/officeDocument/2006/customXml" ds:itemID="{C8F72095-A02F-4E67-AAC3-B386C3B7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2015-02-03T22:06:00Z</dcterms:created>
  <dcterms:modified xsi:type="dcterms:W3CDTF">2015-02-12T20:10:00Z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