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7" w:rsidRPr="00251692" w:rsidRDefault="00323D57" w:rsidP="00251692">
      <w:pPr>
        <w:jc w:val="center"/>
        <w:rPr>
          <w:rFonts w:cs="Times New Roman"/>
          <w:szCs w:val="24"/>
        </w:rPr>
      </w:pPr>
      <w:r w:rsidRPr="00980C6D">
        <w:rPr>
          <w:rFonts w:cs="Times New Roman"/>
          <w:szCs w:val="24"/>
        </w:rPr>
        <w:t>Date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1D7551" w:rsidRDefault="001D7551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980C6D" w:rsidRPr="00EA0FE3" w:rsidRDefault="00980C6D" w:rsidP="00323D57">
      <w:pPr>
        <w:rPr>
          <w:rFonts w:cs="Times New Roman"/>
          <w:szCs w:val="24"/>
        </w:rPr>
      </w:pPr>
    </w:p>
    <w:p w:rsidR="00B82F63" w:rsidRPr="00EA0FE3" w:rsidRDefault="00323D57" w:rsidP="00B82F63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the [effective date] [credit union name] examination report prepared by </w:t>
      </w:r>
      <w:r w:rsidR="00E13E25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[examiner’s name].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The examination disclosed serious weaknesses in your credit union’s internal controls, asset liability management, and risk based lending processes.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As a result, your credit union received a CAMEL “3” rating.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If you fail to take immediate corrective action, your credit union’s financial condition may deteriorate.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The examination report addresses the following areas, which are of particular concern to us:</w:t>
      </w:r>
      <w:bookmarkStart w:id="0" w:name="_Toc286826561"/>
      <w:bookmarkStart w:id="1" w:name="_Toc286858785"/>
    </w:p>
    <w:p w:rsidR="00B82F63" w:rsidRPr="00EA0FE3" w:rsidRDefault="00B82F63" w:rsidP="00B82F63">
      <w:pPr>
        <w:rPr>
          <w:rFonts w:cs="Times New Roman"/>
          <w:szCs w:val="24"/>
        </w:rPr>
      </w:pPr>
    </w:p>
    <w:p w:rsidR="00323D57" w:rsidRPr="00EA0FE3" w:rsidRDefault="00323D57" w:rsidP="00B82F63">
      <w:pPr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Internal Control Weaknesses</w:t>
      </w:r>
      <w:bookmarkEnd w:id="0"/>
      <w:bookmarkEnd w:id="1"/>
    </w:p>
    <w:p w:rsidR="00B82F63" w:rsidRPr="00EA0FE3" w:rsidRDefault="00323D57" w:rsidP="00B82F63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Significant internal control deficiencies exist, such as the lack of Supervisory Committee interim internal audit review functions and lack of proper segregation of duties due to vacant key staffing positions.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Multi-factor authentication is not in place for the home banking product to sufficiently protect member information and security.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The information security policy does not fully comply with NCUA Rules and Regulation, Part 748, Appendix</w:t>
      </w:r>
      <w:r w:rsidR="002333E8">
        <w:rPr>
          <w:rFonts w:cs="Times New Roman"/>
          <w:szCs w:val="24"/>
        </w:rPr>
        <w:t>es</w:t>
      </w:r>
      <w:r w:rsidRPr="00EA0FE3">
        <w:rPr>
          <w:rFonts w:cs="Times New Roman"/>
          <w:szCs w:val="24"/>
        </w:rPr>
        <w:t xml:space="preserve"> A and B.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Enterprise wide disaster recovery/business continuity impact analysis and testing have not been performed and electronic payment system policies and security procedures are insufficient.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The [bank name] reconciliations also contain numerous un-posted reconciling items.</w:t>
      </w:r>
      <w:bookmarkStart w:id="2" w:name="_Toc286826562"/>
      <w:bookmarkStart w:id="3" w:name="_Toc286858786"/>
    </w:p>
    <w:p w:rsidR="00B82F63" w:rsidRPr="00EA0FE3" w:rsidRDefault="00B82F63" w:rsidP="00B82F63">
      <w:pPr>
        <w:rPr>
          <w:rFonts w:cs="Times New Roman"/>
          <w:szCs w:val="24"/>
        </w:rPr>
      </w:pPr>
    </w:p>
    <w:p w:rsidR="00323D57" w:rsidRPr="00EA0FE3" w:rsidRDefault="00323D57" w:rsidP="00B82F63">
      <w:pPr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Asset Liability Management (</w:t>
      </w:r>
      <w:proofErr w:type="spellStart"/>
      <w:r w:rsidRPr="00EA0FE3">
        <w:rPr>
          <w:rFonts w:cs="Times New Roman"/>
          <w:b/>
          <w:szCs w:val="24"/>
        </w:rPr>
        <w:t>ALM</w:t>
      </w:r>
      <w:proofErr w:type="spellEnd"/>
      <w:r w:rsidRPr="00EA0FE3">
        <w:rPr>
          <w:rFonts w:cs="Times New Roman"/>
          <w:b/>
          <w:szCs w:val="24"/>
        </w:rPr>
        <w:t>) Weaknesses</w:t>
      </w:r>
      <w:bookmarkEnd w:id="2"/>
      <w:bookmarkEnd w:id="3"/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Your </w:t>
      </w:r>
      <w:proofErr w:type="spellStart"/>
      <w:r w:rsidRPr="00EA0FE3">
        <w:rPr>
          <w:rFonts w:cs="Times New Roman"/>
          <w:szCs w:val="24"/>
        </w:rPr>
        <w:t>ALM</w:t>
      </w:r>
      <w:proofErr w:type="spellEnd"/>
      <w:r w:rsidRPr="00EA0FE3">
        <w:rPr>
          <w:rFonts w:cs="Times New Roman"/>
          <w:szCs w:val="24"/>
        </w:rPr>
        <w:t xml:space="preserve"> model generated unreliable shocked </w:t>
      </w:r>
      <w:proofErr w:type="spellStart"/>
      <w:r w:rsidRPr="00EA0FE3">
        <w:rPr>
          <w:rFonts w:cs="Times New Roman"/>
          <w:szCs w:val="24"/>
        </w:rPr>
        <w:t>NEV</w:t>
      </w:r>
      <w:proofErr w:type="spellEnd"/>
      <w:r w:rsidRPr="00EA0FE3">
        <w:rPr>
          <w:rFonts w:cs="Times New Roman"/>
          <w:szCs w:val="24"/>
        </w:rPr>
        <w:t xml:space="preserve"> and Income Simulation results to effectively manage your credit union, and your model has not been independently validated as to the reasonableness of your assumptions and the </w:t>
      </w:r>
      <w:proofErr w:type="spellStart"/>
      <w:r w:rsidRPr="00EA0FE3">
        <w:rPr>
          <w:rFonts w:cs="Times New Roman"/>
          <w:szCs w:val="24"/>
        </w:rPr>
        <w:t>ALM</w:t>
      </w:r>
      <w:proofErr w:type="spellEnd"/>
      <w:r w:rsidRPr="00EA0FE3">
        <w:rPr>
          <w:rFonts w:cs="Times New Roman"/>
          <w:szCs w:val="24"/>
        </w:rPr>
        <w:t xml:space="preserve"> reports generated.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proofErr w:type="spellStart"/>
      <w:r w:rsidRPr="00EA0FE3">
        <w:rPr>
          <w:rFonts w:cs="Times New Roman"/>
          <w:szCs w:val="24"/>
        </w:rPr>
        <w:t>ALM</w:t>
      </w:r>
      <w:proofErr w:type="spellEnd"/>
      <w:r w:rsidRPr="00EA0FE3">
        <w:rPr>
          <w:rFonts w:cs="Times New Roman"/>
          <w:szCs w:val="24"/>
        </w:rPr>
        <w:t xml:space="preserve"> training is an area of significant concern as your model operator needs additional training to effectively operate your model.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E13E25" w:rsidP="00323D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reviewing your </w:t>
      </w:r>
      <w:proofErr w:type="spellStart"/>
      <w:r>
        <w:rPr>
          <w:rFonts w:cs="Times New Roman"/>
          <w:szCs w:val="24"/>
        </w:rPr>
        <w:t>ALM</w:t>
      </w:r>
      <w:proofErr w:type="spellEnd"/>
      <w:r>
        <w:rPr>
          <w:rFonts w:cs="Times New Roman"/>
          <w:szCs w:val="24"/>
        </w:rPr>
        <w:t xml:space="preserve"> policy, e</w:t>
      </w:r>
      <w:r w:rsidR="00323D57" w:rsidRPr="00EA0FE3">
        <w:rPr>
          <w:rFonts w:cs="Times New Roman"/>
          <w:szCs w:val="24"/>
        </w:rPr>
        <w:t xml:space="preserve">xaminer [examiner’s name] found your policy does not state the minimum acceptable base and shocked </w:t>
      </w:r>
      <w:proofErr w:type="spellStart"/>
      <w:r w:rsidR="00323D57" w:rsidRPr="00EA0FE3">
        <w:rPr>
          <w:rFonts w:cs="Times New Roman"/>
          <w:szCs w:val="24"/>
        </w:rPr>
        <w:t>NEV</w:t>
      </w:r>
      <w:proofErr w:type="spellEnd"/>
      <w:r w:rsidR="00323D57" w:rsidRPr="00EA0FE3">
        <w:rPr>
          <w:rFonts w:cs="Times New Roman"/>
          <w:szCs w:val="24"/>
        </w:rPr>
        <w:t xml:space="preserve"> ratio floors. </w:t>
      </w:r>
      <w:r w:rsidR="00A16248">
        <w:rPr>
          <w:rFonts w:cs="Times New Roman"/>
          <w:szCs w:val="24"/>
        </w:rPr>
        <w:t xml:space="preserve"> </w:t>
      </w:r>
      <w:r w:rsidR="00323D57" w:rsidRPr="00EA0FE3">
        <w:rPr>
          <w:rFonts w:cs="Times New Roman"/>
          <w:szCs w:val="24"/>
        </w:rPr>
        <w:t xml:space="preserve">Your liquidity policy has a minimum 2.5 percent liquidity ratio floor stated. </w:t>
      </w:r>
      <w:r w:rsidR="00A16248">
        <w:rPr>
          <w:rFonts w:cs="Times New Roman"/>
          <w:szCs w:val="24"/>
        </w:rPr>
        <w:t xml:space="preserve"> </w:t>
      </w:r>
      <w:r w:rsidR="00323D57" w:rsidRPr="00EA0FE3">
        <w:rPr>
          <w:rFonts w:cs="Times New Roman"/>
          <w:szCs w:val="24"/>
        </w:rPr>
        <w:t>In light of your seasonal cash demands, a more reasonable short-term liquidity ratio would be appropriate to ensure member service is not disrupted.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Persistent issues including insufficient or inaccurate Asset-Liability Management modeling and lack of agreed upon policy revisions were identified in prior contacts going back to [year]. </w:t>
      </w:r>
    </w:p>
    <w:p w:rsidR="00ED1505" w:rsidRDefault="00ED1505">
      <w:pPr>
        <w:spacing w:after="12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77C25" w:rsidRPr="00EA0FE3" w:rsidRDefault="001D7551" w:rsidP="00577C25">
      <w:pPr>
        <w:rPr>
          <w:rFonts w:cs="Times New Roman"/>
          <w:szCs w:val="24"/>
        </w:rPr>
      </w:pPr>
      <w:bookmarkStart w:id="4" w:name="_Toc286826563"/>
      <w:bookmarkStart w:id="5" w:name="_Toc286858787"/>
      <w:r>
        <w:rPr>
          <w:rFonts w:cs="Times New Roman"/>
          <w:szCs w:val="24"/>
        </w:rPr>
        <w:lastRenderedPageBreak/>
        <w:t>Mr. John Doe</w:t>
      </w:r>
    </w:p>
    <w:p w:rsidR="00577C25" w:rsidRPr="00EA0FE3" w:rsidRDefault="00577C25" w:rsidP="00577C2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B82F63" w:rsidRPr="00EA0FE3" w:rsidRDefault="00577C25" w:rsidP="00B82F63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Page Two</w:t>
      </w:r>
    </w:p>
    <w:p w:rsidR="00B82F63" w:rsidRPr="00EA0FE3" w:rsidRDefault="00B82F63" w:rsidP="00B82F63">
      <w:pPr>
        <w:rPr>
          <w:rFonts w:cs="Times New Roman"/>
          <w:szCs w:val="24"/>
        </w:rPr>
      </w:pPr>
    </w:p>
    <w:p w:rsidR="00323D57" w:rsidRPr="00EA0FE3" w:rsidRDefault="00323D57" w:rsidP="00B82F63">
      <w:pPr>
        <w:rPr>
          <w:rFonts w:cs="Times New Roman"/>
          <w:szCs w:val="24"/>
        </w:rPr>
      </w:pPr>
      <w:r w:rsidRPr="00EA0FE3">
        <w:rPr>
          <w:rFonts w:cs="Times New Roman"/>
          <w:b/>
          <w:szCs w:val="24"/>
        </w:rPr>
        <w:t>Lack of Risk based Lending Risk Management</w:t>
      </w:r>
      <w:bookmarkEnd w:id="4"/>
      <w:bookmarkEnd w:id="5"/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Unsecured loans grew from $8.4 million to $18 million during the twenty-one months ending [date].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Outstanding D and E paper increased to $8 million or 44 percent of your unsecured loans outstanding.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You have not established lending limits, by credit tier, as a percentage of net worth, and you are not performing a net yield determination to analyze your loan portfolio’s performance by grade of paper.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understand </w:t>
      </w:r>
      <w:r w:rsidR="00E13E25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[examiner’s name] discussed these and other concerns with you and your fellow board members.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The agreements reached are contained in the Document of Resolution.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By [date], </w:t>
      </w:r>
      <w:r w:rsidR="005E6092" w:rsidRPr="00EA0FE3">
        <w:rPr>
          <w:rFonts w:cs="Times New Roman"/>
          <w:szCs w:val="24"/>
        </w:rPr>
        <w:t xml:space="preserve">provide me with </w:t>
      </w:r>
      <w:r w:rsidRPr="00EA0FE3">
        <w:rPr>
          <w:rFonts w:cs="Times New Roman"/>
          <w:szCs w:val="24"/>
        </w:rPr>
        <w:t>a written respon</w:t>
      </w:r>
      <w:bookmarkStart w:id="6" w:name="_GoBack"/>
      <w:bookmarkEnd w:id="6"/>
      <w:r w:rsidRPr="00EA0FE3">
        <w:rPr>
          <w:rFonts w:cs="Times New Roman"/>
          <w:szCs w:val="24"/>
        </w:rPr>
        <w:t>se to the items in the D</w:t>
      </w:r>
      <w:r w:rsidR="00E13E25">
        <w:rPr>
          <w:rFonts w:cs="Times New Roman"/>
          <w:szCs w:val="24"/>
        </w:rPr>
        <w:t>ocument of Resolution and copy e</w:t>
      </w:r>
      <w:r w:rsidRPr="00EA0FE3">
        <w:rPr>
          <w:rFonts w:cs="Times New Roman"/>
          <w:szCs w:val="24"/>
        </w:rPr>
        <w:t xml:space="preserve">xaminer [examiner’s name].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 encourage you and your fellow officials to take the actions necessary to resolve the concerns.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B00A63" w:rsidRDefault="00B00A63" w:rsidP="00B00A63">
      <w:pPr>
        <w:rPr>
          <w:rFonts w:cs="Times New Roman"/>
          <w:szCs w:val="24"/>
        </w:rPr>
      </w:pPr>
      <w:r w:rsidRPr="008A72C5">
        <w:rPr>
          <w:szCs w:val="24"/>
        </w:rPr>
        <w:t>[</w:t>
      </w:r>
      <w:r w:rsidRPr="00637F8B">
        <w:rPr>
          <w:i/>
          <w:szCs w:val="24"/>
        </w:rPr>
        <w:t>For credit unions</w:t>
      </w:r>
      <w:r w:rsidR="00546100" w:rsidRPr="00637F8B">
        <w:rPr>
          <w:i/>
          <w:szCs w:val="24"/>
        </w:rPr>
        <w:t xml:space="preserve"> that have</w:t>
      </w:r>
      <w:r w:rsidRPr="00637F8B">
        <w:rPr>
          <w:i/>
          <w:szCs w:val="24"/>
        </w:rPr>
        <w:t xml:space="preserve"> $50 million and less</w:t>
      </w:r>
      <w:r w:rsidR="00546100" w:rsidRPr="00637F8B">
        <w:rPr>
          <w:i/>
          <w:szCs w:val="24"/>
        </w:rPr>
        <w:t xml:space="preserve"> in assets</w:t>
      </w:r>
      <w:r w:rsidRPr="00637F8B">
        <w:rPr>
          <w:i/>
          <w:szCs w:val="24"/>
        </w:rPr>
        <w:t xml:space="preserve">, newly chartered (less than </w:t>
      </w:r>
      <w:r w:rsidR="00546100" w:rsidRPr="00637F8B">
        <w:rPr>
          <w:i/>
          <w:szCs w:val="24"/>
        </w:rPr>
        <w:t>three</w:t>
      </w:r>
      <w:r w:rsidRPr="00637F8B">
        <w:rPr>
          <w:i/>
          <w:szCs w:val="24"/>
        </w:rPr>
        <w:t xml:space="preserve"> years old) or low income designated consider including the following statement</w:t>
      </w:r>
      <w:r w:rsidRPr="008A72C5">
        <w:rPr>
          <w:szCs w:val="24"/>
        </w:rPr>
        <w:t xml:space="preserve">: </w:t>
      </w:r>
      <w:r>
        <w:rPr>
          <w:szCs w:val="24"/>
        </w:rPr>
        <w:t>In your efforts to resolve these concerns, y</w:t>
      </w:r>
      <w:r w:rsidRPr="008A72C5">
        <w:rPr>
          <w:szCs w:val="24"/>
        </w:rPr>
        <w:t xml:space="preserve">ou </w:t>
      </w:r>
      <w:r>
        <w:rPr>
          <w:szCs w:val="24"/>
        </w:rPr>
        <w:t xml:space="preserve">may wish </w:t>
      </w:r>
      <w:r w:rsidRPr="008A72C5">
        <w:rPr>
          <w:szCs w:val="24"/>
        </w:rPr>
        <w:t xml:space="preserve">to take advantage of programs offered by </w:t>
      </w:r>
      <w:proofErr w:type="spellStart"/>
      <w:r>
        <w:rPr>
          <w:szCs w:val="24"/>
        </w:rPr>
        <w:t>NCUA’s</w:t>
      </w:r>
      <w:proofErr w:type="spellEnd"/>
      <w:r w:rsidRPr="008A72C5">
        <w:rPr>
          <w:szCs w:val="24"/>
        </w:rPr>
        <w:t xml:space="preserve"> </w:t>
      </w:r>
      <w:r w:rsidRPr="008A72C5">
        <w:rPr>
          <w:rFonts w:cs="Times New Roman"/>
          <w:szCs w:val="24"/>
        </w:rPr>
        <w:t xml:space="preserve">Office of Small Credit Union Initiatives (OSCUI). </w:t>
      </w:r>
      <w:r w:rsidR="00A16248">
        <w:rPr>
          <w:rFonts w:cs="Times New Roman"/>
          <w:szCs w:val="24"/>
        </w:rPr>
        <w:t xml:space="preserve"> </w:t>
      </w:r>
      <w:r w:rsidRPr="008A72C5">
        <w:rPr>
          <w:rFonts w:cs="Times New Roman"/>
          <w:szCs w:val="24"/>
        </w:rPr>
        <w:t xml:space="preserve">OSCUI provides </w:t>
      </w:r>
      <w:r>
        <w:rPr>
          <w:rFonts w:cs="Times New Roman"/>
          <w:szCs w:val="24"/>
        </w:rPr>
        <w:t xml:space="preserve">guidance and </w:t>
      </w:r>
      <w:r w:rsidRPr="008A72C5">
        <w:rPr>
          <w:rFonts w:cs="Times New Roman"/>
          <w:szCs w:val="24"/>
        </w:rPr>
        <w:t>assistance</w:t>
      </w:r>
      <w:r>
        <w:rPr>
          <w:rFonts w:cs="Times New Roman"/>
          <w:szCs w:val="24"/>
        </w:rPr>
        <w:t xml:space="preserve"> </w:t>
      </w:r>
      <w:r w:rsidRPr="008A72C5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 xml:space="preserve"> </w:t>
      </w:r>
      <w:r w:rsidRPr="008A72C5">
        <w:rPr>
          <w:rFonts w:cs="Times New Roman"/>
          <w:szCs w:val="24"/>
        </w:rPr>
        <w:t xml:space="preserve">small, new, and low-income designated credit unions through four primary programs - Training, Grants and Loans, Partnerships and Outreach, and Consulting Services. </w:t>
      </w:r>
      <w:r w:rsidR="00A162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More information is available from your examiner</w:t>
      </w:r>
      <w:r w:rsidR="008B12B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or</w:t>
      </w:r>
      <w:r w:rsidR="008B12BC">
        <w:rPr>
          <w:rFonts w:cs="Times New Roman"/>
          <w:szCs w:val="24"/>
        </w:rPr>
        <w:t xml:space="preserve"> online</w:t>
      </w:r>
      <w:r>
        <w:rPr>
          <w:rFonts w:cs="Times New Roman"/>
          <w:szCs w:val="24"/>
        </w:rPr>
        <w:t xml:space="preserve"> at </w:t>
      </w:r>
      <w:hyperlink r:id="rId15" w:history="1">
        <w:r w:rsidRPr="00B00A63">
          <w:rPr>
            <w:rStyle w:val="Hyperlink"/>
            <w:rFonts w:cs="Times New Roman"/>
            <w:szCs w:val="24"/>
          </w:rPr>
          <w:t>http://www.ncua.gov/Resources/OSCUI</w:t>
        </w:r>
      </w:hyperlink>
      <w:r>
        <w:rPr>
          <w:rFonts w:cs="Times New Roman"/>
          <w:szCs w:val="24"/>
        </w:rPr>
        <w:t>.]</w:t>
      </w:r>
    </w:p>
    <w:p w:rsidR="00B00A63" w:rsidRDefault="00B00A63" w:rsidP="00B82F63">
      <w:pPr>
        <w:rPr>
          <w:rFonts w:cs="Times New Roman"/>
          <w:szCs w:val="24"/>
        </w:rPr>
      </w:pPr>
    </w:p>
    <w:p w:rsidR="00B82F63" w:rsidRPr="00EA0FE3" w:rsidRDefault="00323D57" w:rsidP="00B82F63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Examiner [examiner’s name] will return to your credit union by [date] to review your progress towards correcting the </w:t>
      </w:r>
      <w:proofErr w:type="spellStart"/>
      <w:r w:rsidRPr="00EA0FE3">
        <w:rPr>
          <w:rFonts w:cs="Times New Roman"/>
          <w:szCs w:val="24"/>
        </w:rPr>
        <w:t>BSA</w:t>
      </w:r>
      <w:proofErr w:type="spellEnd"/>
      <w:r w:rsidRPr="00EA0FE3">
        <w:rPr>
          <w:rFonts w:cs="Times New Roman"/>
          <w:szCs w:val="24"/>
        </w:rPr>
        <w:t xml:space="preserve"> and other operational deficiencies.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Please contact him/her at [phone number] if you have questions.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bookmarkStart w:id="7" w:name="_Toc286826564"/>
      <w:bookmarkStart w:id="8" w:name="_Toc286858788"/>
      <w:r w:rsidRPr="00EA0FE3">
        <w:rPr>
          <w:rFonts w:cs="Times New Roman"/>
          <w:szCs w:val="24"/>
        </w:rPr>
        <w:t>Sincerely,</w:t>
      </w:r>
      <w:bookmarkStart w:id="9" w:name="_Toc286826565"/>
      <w:bookmarkStart w:id="10" w:name="_Toc286858789"/>
      <w:bookmarkEnd w:id="7"/>
      <w:bookmarkEnd w:id="8"/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546100" w:rsidRPr="00EA0FE3" w:rsidRDefault="00546100" w:rsidP="00546100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1D7551" w:rsidRDefault="001D7551" w:rsidP="001D7551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D7551" w:rsidRPr="00C94819" w:rsidRDefault="001D7551" w:rsidP="001D7551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</w:p>
    <w:bookmarkEnd w:id="9"/>
    <w:bookmarkEnd w:id="10"/>
    <w:p w:rsidR="00B11C62" w:rsidRPr="00251692" w:rsidRDefault="00B11C62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B11C62" w:rsidRPr="00251692" w:rsidRDefault="00B11C62" w:rsidP="00251692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B11C62" w:rsidP="00155C61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150915" w:rsidRPr="00EA0FE3" w:rsidSect="00E13E25">
      <w:head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9CF" w:rsidRDefault="00BE49CF" w:rsidP="00003698">
      <w:r>
        <w:separator/>
      </w:r>
    </w:p>
  </w:endnote>
  <w:endnote w:type="continuationSeparator" w:id="0">
    <w:p w:rsidR="00BE49CF" w:rsidRDefault="00BE49CF" w:rsidP="00003698">
      <w:r>
        <w:continuationSeparator/>
      </w:r>
    </w:p>
  </w:endnote>
  <w:endnote w:type="continuationNotice" w:id="1">
    <w:p w:rsidR="00BE49CF" w:rsidRDefault="00BE4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9CF" w:rsidRDefault="00BE49CF" w:rsidP="00003698">
      <w:r>
        <w:separator/>
      </w:r>
    </w:p>
  </w:footnote>
  <w:footnote w:type="continuationSeparator" w:id="0">
    <w:p w:rsidR="00BE49CF" w:rsidRDefault="00BE49CF" w:rsidP="00003698">
      <w:r>
        <w:continuationSeparator/>
      </w:r>
    </w:p>
  </w:footnote>
  <w:footnote w:type="continuationNotice" w:id="1">
    <w:p w:rsidR="00BE49CF" w:rsidRDefault="00BE49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0F2" w:rsidRDefault="00FC6A7D" w:rsidP="006040F2">
    <w:pPr>
      <w:pStyle w:val="Heading1"/>
    </w:pPr>
    <w:bookmarkStart w:id="11" w:name="_Toc410730864"/>
    <w:bookmarkStart w:id="12" w:name="_Toc374715954"/>
    <w:bookmarkStart w:id="13" w:name="_Toc350243830"/>
    <w:bookmarkStart w:id="14" w:name="_Toc378338555"/>
    <w:bookmarkStart w:id="15" w:name="_Toc286826569"/>
    <w:bookmarkStart w:id="16" w:name="_Toc287274052"/>
    <w:bookmarkStart w:id="17" w:name="appendix11g"/>
    <w:bookmarkStart w:id="18" w:name="_Toc374716194"/>
    <w:bookmarkStart w:id="19" w:name="_Toc350244022"/>
    <w:bookmarkStart w:id="20" w:name="_Toc378338798"/>
    <w:bookmarkStart w:id="21" w:name="_Toc410730934"/>
    <w:bookmarkStart w:id="22" w:name="_Toc287274044"/>
    <w:bookmarkStart w:id="23" w:name="_Toc374716188"/>
    <w:bookmarkStart w:id="24" w:name="_Toc350244016"/>
    <w:bookmarkStart w:id="25" w:name="_Toc378338792"/>
    <w:bookmarkStart w:id="26" w:name="_Toc410730931"/>
    <w:bookmarkStart w:id="27" w:name="Appendix11D"/>
    <w:bookmarkStart w:id="28" w:name="_Toc286826559"/>
    <w:bookmarkStart w:id="29" w:name="_Toc287274038"/>
    <w:bookmarkStart w:id="30" w:name="_Toc374716182"/>
    <w:bookmarkStart w:id="31" w:name="_Toc350244010"/>
    <w:bookmarkStart w:id="32" w:name="_Toc378338786"/>
    <w:bookmarkStart w:id="33" w:name="_Toc410730928"/>
    <w:bookmarkStart w:id="34" w:name="_Toc286826584"/>
    <w:bookmarkStart w:id="35" w:name="_Toc287274058"/>
    <w:bookmarkStart w:id="36" w:name="_Toc350244028"/>
    <w:bookmarkStart w:id="37" w:name="_Toc374716198"/>
    <w:bookmarkStart w:id="38" w:name="_Toc378338802"/>
    <w:bookmarkStart w:id="39" w:name="_Toc410730936"/>
    <w:bookmarkStart w:id="40" w:name="appendix11i"/>
    <w:r>
      <w:t>Sample</w:t>
    </w:r>
    <w:r w:rsidR="00127395">
      <w:t>: Regional Director Letter</w:t>
    </w:r>
  </w:p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5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5C61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5CDB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40F2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749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6EB3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9CF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E25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2B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A7D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ncua.gov/Resources/OSCUI" TargetMode="Externa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4E39D0-2071-47E9-A529-01C14F2C2C2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FFF9865-A1A2-40BB-929B-8807DCECB1F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4A7CB1E-92D7-455D-94D6-7A0C0055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2015-02-03T22:01:00Z</dcterms:created>
  <dcterms:modified xsi:type="dcterms:W3CDTF">2015-02-12T20:17:00Z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