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20" w:type="dxa"/>
        <w:tblLayout w:type="fixed"/>
        <w:tblLook w:val="04A0" w:firstRow="1" w:lastRow="0" w:firstColumn="1" w:lastColumn="0" w:noHBand="0" w:noVBand="1"/>
      </w:tblPr>
      <w:tblGrid>
        <w:gridCol w:w="3729"/>
        <w:gridCol w:w="296"/>
        <w:gridCol w:w="378"/>
        <w:gridCol w:w="378"/>
        <w:gridCol w:w="379"/>
        <w:gridCol w:w="378"/>
        <w:gridCol w:w="186"/>
        <w:gridCol w:w="193"/>
        <w:gridCol w:w="378"/>
        <w:gridCol w:w="378"/>
        <w:gridCol w:w="42"/>
        <w:gridCol w:w="337"/>
        <w:gridCol w:w="378"/>
        <w:gridCol w:w="290"/>
        <w:gridCol w:w="89"/>
        <w:gridCol w:w="378"/>
        <w:gridCol w:w="30"/>
        <w:gridCol w:w="348"/>
        <w:gridCol w:w="379"/>
        <w:gridCol w:w="378"/>
        <w:gridCol w:w="398"/>
      </w:tblGrid>
      <w:tr w:rsidR="005362B0" w:rsidRPr="00C54EB1" w:rsidTr="00133DBF">
        <w:tc>
          <w:tcPr>
            <w:tcW w:w="9720" w:type="dxa"/>
            <w:gridSpan w:val="21"/>
            <w:tcBorders>
              <w:top w:val="single" w:sz="4" w:space="0" w:color="auto"/>
            </w:tcBorders>
            <w:shd w:val="clear" w:color="auto" w:fill="D0DBD8" w:themeFill="accent5" w:themeFillTint="99"/>
            <w:vAlign w:val="center"/>
          </w:tcPr>
          <w:p w:rsidR="005362B0" w:rsidRPr="00561259" w:rsidRDefault="005362B0" w:rsidP="00133DBF">
            <w:pPr>
              <w:spacing w:before="60" w:after="60"/>
              <w:rPr>
                <w:rFonts w:asciiTheme="minorHAnsi" w:hAnsiTheme="minorHAnsi"/>
                <w:b/>
              </w:rPr>
            </w:pPr>
            <w:bookmarkStart w:id="0" w:name="_Toc325055476"/>
            <w:bookmarkStart w:id="1" w:name="_Toc374716001"/>
            <w:bookmarkStart w:id="2" w:name="_Toc350243845"/>
            <w:bookmarkStart w:id="3" w:name="_Toc298950937"/>
            <w:bookmarkStart w:id="4" w:name="_Toc287274200"/>
            <w:bookmarkStart w:id="5" w:name="_GoBack"/>
            <w:bookmarkEnd w:id="5"/>
            <w:r w:rsidRPr="00C54EB1">
              <w:rPr>
                <w:rFonts w:asciiTheme="minorHAnsi" w:hAnsiTheme="minorHAnsi" w:cs="Arial"/>
                <w:b/>
                <w:sz w:val="28"/>
                <w:szCs w:val="24"/>
              </w:rPr>
              <w:t>Federal Credit Union Information</w:t>
            </w:r>
          </w:p>
        </w:tc>
      </w:tr>
      <w:tr w:rsidR="005362B0" w:rsidRPr="00C54EB1" w:rsidTr="00133DBF">
        <w:tc>
          <w:tcPr>
            <w:tcW w:w="3729" w:type="dxa"/>
            <w:shd w:val="clear" w:color="auto" w:fill="F6F0B8" w:themeFill="accent6" w:themeFillTint="33"/>
          </w:tcPr>
          <w:p w:rsidR="005362B0" w:rsidRPr="00561259" w:rsidRDefault="005362B0" w:rsidP="00133DBF">
            <w:pPr>
              <w:spacing w:before="60" w:after="60"/>
              <w:rPr>
                <w:rFonts w:asciiTheme="minorHAnsi" w:hAnsiTheme="minorHAnsi" w:cs="Arial"/>
                <w:szCs w:val="24"/>
              </w:rPr>
            </w:pPr>
            <w:r w:rsidRPr="00C54EB1">
              <w:rPr>
                <w:rFonts w:asciiTheme="minorHAnsi" w:hAnsiTheme="minorHAnsi" w:cs="Arial"/>
                <w:szCs w:val="24"/>
              </w:rPr>
              <w:t>Credit union name</w:t>
            </w:r>
          </w:p>
        </w:tc>
        <w:tc>
          <w:tcPr>
            <w:tcW w:w="5991" w:type="dxa"/>
            <w:gridSpan w:val="20"/>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c>
          <w:tcPr>
            <w:tcW w:w="3729" w:type="dxa"/>
            <w:shd w:val="clear" w:color="auto" w:fill="F6F0B8" w:themeFill="accent6" w:themeFillTint="33"/>
          </w:tcPr>
          <w:p w:rsidR="005362B0" w:rsidRPr="00561259" w:rsidRDefault="005362B0" w:rsidP="00133DBF">
            <w:pPr>
              <w:spacing w:before="60" w:after="60"/>
              <w:rPr>
                <w:rFonts w:asciiTheme="minorHAnsi" w:hAnsiTheme="minorHAnsi" w:cs="Arial"/>
                <w:szCs w:val="24"/>
              </w:rPr>
            </w:pPr>
            <w:r w:rsidRPr="00C54EB1">
              <w:rPr>
                <w:rFonts w:asciiTheme="minorHAnsi" w:hAnsiTheme="minorHAnsi" w:cs="Arial"/>
                <w:szCs w:val="24"/>
              </w:rPr>
              <w:t>Charter number</w:t>
            </w:r>
          </w:p>
        </w:tc>
        <w:tc>
          <w:tcPr>
            <w:tcW w:w="5991" w:type="dxa"/>
            <w:gridSpan w:val="20"/>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c>
          <w:tcPr>
            <w:tcW w:w="3729" w:type="dxa"/>
            <w:tcBorders>
              <w:bottom w:val="nil"/>
            </w:tcBorders>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b/>
                <w:i/>
                <w:sz w:val="20"/>
                <w:szCs w:val="24"/>
              </w:rPr>
            </w:pPr>
            <w:r w:rsidRPr="00C54EB1">
              <w:rPr>
                <w:rFonts w:asciiTheme="minorHAnsi" w:hAnsiTheme="minorHAnsi" w:cs="Arial"/>
                <w:szCs w:val="24"/>
              </w:rPr>
              <w:t>Assets</w:t>
            </w:r>
            <w:r w:rsidRPr="00C54EB1">
              <w:rPr>
                <w:rStyle w:val="FootnoteReference"/>
                <w:rFonts w:asciiTheme="minorHAnsi" w:hAnsiTheme="minorHAnsi" w:cs="Arial"/>
                <w:szCs w:val="24"/>
              </w:rPr>
              <w:footnoteReference w:id="2"/>
            </w:r>
            <w:r w:rsidRPr="00C54EB1">
              <w:rPr>
                <w:rFonts w:asciiTheme="minorHAnsi" w:hAnsiTheme="minorHAnsi" w:cs="Arial"/>
                <w:szCs w:val="24"/>
              </w:rPr>
              <w:t xml:space="preserve">  </w:t>
            </w:r>
            <w:r w:rsidRPr="00C54EB1">
              <w:rPr>
                <w:rFonts w:asciiTheme="minorHAnsi" w:hAnsiTheme="minorHAnsi" w:cs="Arial"/>
                <w:i/>
                <w:sz w:val="20"/>
                <w:szCs w:val="24"/>
              </w:rPr>
              <w:t>(enter whole dollar number from the most recent quarterly call report)</w:t>
            </w:r>
          </w:p>
        </w:tc>
        <w:tc>
          <w:tcPr>
            <w:tcW w:w="296" w:type="dxa"/>
            <w:tcBorders>
              <w:bottom w:val="single" w:sz="4" w:space="0" w:color="auto"/>
            </w:tcBorders>
            <w:vAlign w:val="center"/>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p>
        </w:tc>
        <w:tc>
          <w:tcPr>
            <w:tcW w:w="379" w:type="dxa"/>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r w:rsidRPr="00C54EB1">
              <w:rPr>
                <w:rFonts w:asciiTheme="minorHAnsi" w:hAnsiTheme="minorHAnsi" w:cs="Arial"/>
                <w:szCs w:val="24"/>
              </w:rPr>
              <w:t>,</w:t>
            </w:r>
          </w:p>
        </w:tc>
        <w:tc>
          <w:tcPr>
            <w:tcW w:w="379" w:type="dxa"/>
            <w:gridSpan w:val="2"/>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2</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5</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79" w:type="dxa"/>
            <w:gridSpan w:val="2"/>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r w:rsidRPr="00C54EB1">
              <w:rPr>
                <w:rFonts w:asciiTheme="minorHAnsi" w:hAnsiTheme="minorHAnsi" w:cs="Arial"/>
                <w:szCs w:val="24"/>
              </w:rPr>
              <w:t>,</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79" w:type="dxa"/>
            <w:gridSpan w:val="2"/>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78" w:type="dxa"/>
            <w:gridSpan w:val="2"/>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r w:rsidRPr="00C54EB1">
              <w:rPr>
                <w:rFonts w:asciiTheme="minorHAnsi" w:hAnsiTheme="minorHAnsi" w:cs="Arial"/>
                <w:szCs w:val="24"/>
              </w:rPr>
              <w:t>,</w:t>
            </w:r>
          </w:p>
        </w:tc>
        <w:tc>
          <w:tcPr>
            <w:tcW w:w="379"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7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c>
          <w:tcPr>
            <w:tcW w:w="398" w:type="dxa"/>
            <w:tcBorders>
              <w:bottom w:val="single" w:sz="4" w:space="0" w:color="auto"/>
            </w:tcBorders>
            <w:vAlign w:val="center"/>
          </w:tcPr>
          <w:p w:rsidR="005362B0" w:rsidRPr="00561259" w:rsidRDefault="005362B0" w:rsidP="00133DBF">
            <w:pPr>
              <w:spacing w:before="60" w:after="60"/>
              <w:rPr>
                <w:rFonts w:asciiTheme="minorHAnsi" w:hAnsiTheme="minorHAnsi" w:cs="Arial"/>
                <w:color w:val="BFBFBF" w:themeColor="background1" w:themeShade="BF"/>
                <w:szCs w:val="24"/>
              </w:rPr>
            </w:pPr>
            <w:r w:rsidRPr="00C54EB1">
              <w:rPr>
                <w:rFonts w:asciiTheme="minorHAnsi" w:hAnsiTheme="minorHAnsi" w:cs="Arial"/>
                <w:color w:val="BFBFBF" w:themeColor="background1" w:themeShade="BF"/>
                <w:szCs w:val="24"/>
              </w:rPr>
              <w:t>0</w:t>
            </w:r>
          </w:p>
        </w:tc>
      </w:tr>
      <w:tr w:rsidR="005362B0" w:rsidRPr="00C54EB1" w:rsidTr="00133DBF">
        <w:tc>
          <w:tcPr>
            <w:tcW w:w="3729" w:type="dxa"/>
            <w:tcBorders>
              <w:top w:val="single" w:sz="4" w:space="0" w:color="auto"/>
              <w:bottom w:val="nil"/>
            </w:tcBorders>
            <w:shd w:val="clear" w:color="auto" w:fill="F6F0B8" w:themeFill="accent6" w:themeFillTint="33"/>
          </w:tcPr>
          <w:p w:rsidR="005362B0" w:rsidRPr="00561259" w:rsidRDefault="005362B0" w:rsidP="00133DBF">
            <w:pPr>
              <w:spacing w:before="60" w:after="60"/>
              <w:rPr>
                <w:rFonts w:asciiTheme="minorHAnsi" w:hAnsiTheme="minorHAnsi" w:cs="Arial"/>
                <w:b/>
                <w:i/>
                <w:szCs w:val="24"/>
              </w:rPr>
            </w:pPr>
            <w:r w:rsidRPr="00C54EB1">
              <w:rPr>
                <w:rFonts w:asciiTheme="minorHAnsi" w:hAnsiTheme="minorHAnsi" w:cs="Arial"/>
                <w:szCs w:val="24"/>
              </w:rPr>
              <w:t xml:space="preserve">CAMEL code (composite)  </w:t>
            </w:r>
            <w:r w:rsidRPr="00C54EB1">
              <w:rPr>
                <w:rFonts w:asciiTheme="minorHAnsi" w:hAnsiTheme="minorHAnsi" w:cs="Arial"/>
                <w:i/>
                <w:sz w:val="20"/>
                <w:szCs w:val="24"/>
              </w:rPr>
              <w:t>(check the number from most recent exam)</w:t>
            </w:r>
          </w:p>
        </w:tc>
        <w:tc>
          <w:tcPr>
            <w:tcW w:w="1995" w:type="dxa"/>
            <w:gridSpan w:val="6"/>
            <w:tcBorders>
              <w:bottom w:val="nil"/>
              <w:right w:val="single" w:sz="4" w:space="0" w:color="auto"/>
            </w:tcBorders>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1</w:t>
            </w:r>
          </w:p>
        </w:tc>
        <w:tc>
          <w:tcPr>
            <w:tcW w:w="1996" w:type="dxa"/>
            <w:gridSpan w:val="7"/>
            <w:tcBorders>
              <w:left w:val="single" w:sz="4" w:space="0" w:color="auto"/>
              <w:bottom w:val="nil"/>
              <w:right w:val="single" w:sz="4" w:space="0" w:color="auto"/>
            </w:tcBorders>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2</w:t>
            </w:r>
          </w:p>
        </w:tc>
        <w:tc>
          <w:tcPr>
            <w:tcW w:w="2000" w:type="dxa"/>
            <w:gridSpan w:val="7"/>
            <w:tcBorders>
              <w:left w:val="single" w:sz="4" w:space="0" w:color="auto"/>
              <w:bottom w:val="nil"/>
            </w:tcBorders>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3</w:t>
            </w:r>
          </w:p>
        </w:tc>
      </w:tr>
      <w:tr w:rsidR="005362B0" w:rsidRPr="00C54EB1" w:rsidTr="00133DBF">
        <w:tc>
          <w:tcPr>
            <w:tcW w:w="3729" w:type="dxa"/>
            <w:tcBorders>
              <w:bottom w:val="nil"/>
            </w:tcBorders>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b/>
                <w:i/>
                <w:sz w:val="18"/>
                <w:szCs w:val="24"/>
              </w:rPr>
            </w:pPr>
            <w:r w:rsidRPr="00C54EB1">
              <w:rPr>
                <w:rFonts w:asciiTheme="minorHAnsi" w:hAnsiTheme="minorHAnsi" w:cs="Arial"/>
                <w:szCs w:val="24"/>
              </w:rPr>
              <w:t xml:space="preserve">CAMEL code (management) </w:t>
            </w:r>
            <w:r w:rsidRPr="00C54EB1">
              <w:rPr>
                <w:rFonts w:asciiTheme="minorHAnsi" w:hAnsiTheme="minorHAnsi" w:cs="Arial"/>
                <w:i/>
                <w:sz w:val="20"/>
                <w:szCs w:val="24"/>
              </w:rPr>
              <w:t>(check the number from most recent exam)</w:t>
            </w:r>
          </w:p>
        </w:tc>
        <w:tc>
          <w:tcPr>
            <w:tcW w:w="1995" w:type="dxa"/>
            <w:gridSpan w:val="6"/>
            <w:tcBorders>
              <w:bottom w:val="nil"/>
              <w:right w:val="single" w:sz="4" w:space="0" w:color="auto"/>
            </w:tcBorders>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1</w:t>
            </w:r>
          </w:p>
        </w:tc>
        <w:tc>
          <w:tcPr>
            <w:tcW w:w="1996" w:type="dxa"/>
            <w:gridSpan w:val="7"/>
            <w:tcBorders>
              <w:left w:val="single" w:sz="4" w:space="0" w:color="auto"/>
              <w:bottom w:val="nil"/>
            </w:tcBorders>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2</w:t>
            </w:r>
          </w:p>
        </w:tc>
        <w:tc>
          <w:tcPr>
            <w:tcW w:w="2000" w:type="dxa"/>
            <w:gridSpan w:val="7"/>
            <w:tcBorders>
              <w:left w:val="single" w:sz="4" w:space="0" w:color="auto"/>
              <w:bottom w:val="nil"/>
            </w:tcBorders>
            <w:shd w:val="clear" w:color="auto" w:fill="F2F2F2" w:themeFill="background1" w:themeFillShade="F2"/>
            <w:vAlign w:val="center"/>
          </w:tcPr>
          <w:p w:rsidR="005362B0" w:rsidRPr="00C54EB1" w:rsidRDefault="005362B0" w:rsidP="00133DBF">
            <w:pPr>
              <w:spacing w:before="60" w:beforeAutospacing="1" w:after="60" w:afterAutospacing="1"/>
              <w:jc w:val="center"/>
              <w:rPr>
                <w:rFonts w:asciiTheme="minorHAnsi" w:hAnsiTheme="minorHAnsi" w:cs="Arial"/>
                <w:szCs w:val="24"/>
              </w:rPr>
            </w:pPr>
            <w:r w:rsidRPr="00C54EB1">
              <w:rPr>
                <w:rFonts w:asciiTheme="minorHAnsi" w:hAnsiTheme="minorHAnsi" w:cs="Arial"/>
                <w:color w:val="000000" w:themeColor="text1"/>
                <w:szCs w:val="24"/>
              </w:rPr>
              <w:t xml:space="preserve">-N/A- </w:t>
            </w:r>
          </w:p>
        </w:tc>
      </w:tr>
      <w:tr w:rsidR="005362B0" w:rsidRPr="00C54EB1" w:rsidTr="00133DBF">
        <w:trPr>
          <w:trHeight w:val="368"/>
        </w:trPr>
        <w:tc>
          <w:tcPr>
            <w:tcW w:w="9720" w:type="dxa"/>
            <w:gridSpan w:val="21"/>
            <w:shd w:val="clear" w:color="auto" w:fill="D0DBD8" w:themeFill="accent5" w:themeFillTint="99"/>
          </w:tcPr>
          <w:p w:rsidR="005362B0" w:rsidRPr="00C54EB1" w:rsidRDefault="005362B0" w:rsidP="00133DBF">
            <w:pPr>
              <w:spacing w:before="60" w:beforeAutospacing="1" w:after="60" w:afterAutospacing="1"/>
              <w:rPr>
                <w:rFonts w:asciiTheme="minorHAnsi" w:hAnsiTheme="minorHAnsi" w:cs="Arial"/>
                <w:b/>
                <w:sz w:val="28"/>
                <w:szCs w:val="24"/>
              </w:rPr>
            </w:pPr>
            <w:r w:rsidRPr="00C54EB1">
              <w:rPr>
                <w:rFonts w:asciiTheme="minorHAnsi" w:hAnsiTheme="minorHAnsi" w:cs="Arial"/>
                <w:b/>
                <w:sz w:val="28"/>
                <w:szCs w:val="24"/>
              </w:rPr>
              <w:t>Contact Information</w:t>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Contact name</w:t>
            </w:r>
          </w:p>
        </w:tc>
        <w:tc>
          <w:tcPr>
            <w:tcW w:w="5991" w:type="dxa"/>
            <w:gridSpan w:val="20"/>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Title</w:t>
            </w:r>
          </w:p>
        </w:tc>
        <w:tc>
          <w:tcPr>
            <w:tcW w:w="5991" w:type="dxa"/>
            <w:gridSpan w:val="20"/>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c>
          <w:tcPr>
            <w:tcW w:w="3729" w:type="dxa"/>
            <w:tcBorders>
              <w:bottom w:val="single" w:sz="4" w:space="0" w:color="auto"/>
            </w:tcBorders>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Email / Phone</w:t>
            </w:r>
          </w:p>
        </w:tc>
        <w:tc>
          <w:tcPr>
            <w:tcW w:w="5991" w:type="dxa"/>
            <w:gridSpan w:val="20"/>
            <w:tcBorders>
              <w:bottom w:val="single" w:sz="4" w:space="0" w:color="auto"/>
            </w:tcBorders>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rPr>
          <w:trHeight w:val="323"/>
        </w:trPr>
        <w:tc>
          <w:tcPr>
            <w:tcW w:w="3729" w:type="dxa"/>
            <w:tcBorders>
              <w:top w:val="single" w:sz="4" w:space="0" w:color="auto"/>
              <w:bottom w:val="nil"/>
              <w:right w:val="dotted" w:sz="4" w:space="0" w:color="auto"/>
            </w:tcBorders>
            <w:shd w:val="clear" w:color="auto" w:fill="D0DBD8" w:themeFill="accent5" w:themeFillTint="99"/>
            <w:vAlign w:val="center"/>
          </w:tcPr>
          <w:p w:rsidR="005362B0" w:rsidRPr="00C54EB1" w:rsidRDefault="005362B0" w:rsidP="00133DBF">
            <w:pPr>
              <w:spacing w:before="60" w:beforeAutospacing="1" w:after="60" w:afterAutospacing="1"/>
              <w:rPr>
                <w:rFonts w:asciiTheme="minorHAnsi" w:hAnsiTheme="minorHAnsi" w:cs="Arial"/>
                <w:b/>
                <w:szCs w:val="24"/>
              </w:rPr>
            </w:pPr>
            <w:r w:rsidRPr="00C54EB1">
              <w:rPr>
                <w:rFonts w:asciiTheme="minorHAnsi" w:hAnsiTheme="minorHAnsi" w:cs="Arial"/>
                <w:b/>
                <w:sz w:val="28"/>
                <w:szCs w:val="24"/>
              </w:rPr>
              <w:t>Requested Approval</w:t>
            </w:r>
          </w:p>
        </w:tc>
        <w:tc>
          <w:tcPr>
            <w:tcW w:w="2986" w:type="dxa"/>
            <w:gridSpan w:val="10"/>
            <w:tcBorders>
              <w:top w:val="single" w:sz="4" w:space="0" w:color="auto"/>
              <w:left w:val="dotted" w:sz="4" w:space="0" w:color="auto"/>
              <w:bottom w:val="dotted" w:sz="4" w:space="0" w:color="auto"/>
              <w:right w:val="dotted" w:sz="4" w:space="0" w:color="auto"/>
            </w:tcBorders>
            <w:shd w:val="clear" w:color="auto" w:fill="D0DBD8" w:themeFill="accent5" w:themeFillTint="99"/>
            <w:vAlign w:val="bottom"/>
          </w:tcPr>
          <w:p w:rsidR="005362B0" w:rsidRPr="00C54EB1" w:rsidRDefault="005362B0" w:rsidP="00133DBF">
            <w:pPr>
              <w:spacing w:before="60" w:beforeAutospacing="1" w:after="60" w:afterAutospacing="1"/>
              <w:jc w:val="center"/>
              <w:rPr>
                <w:rFonts w:asciiTheme="minorHAnsi" w:hAnsiTheme="minorHAnsi" w:cs="Arial"/>
                <w:b/>
                <w:szCs w:val="24"/>
              </w:rPr>
            </w:pPr>
            <w:r w:rsidRPr="00C54EB1">
              <w:rPr>
                <w:rFonts w:asciiTheme="minorHAnsi" w:hAnsiTheme="minorHAnsi" w:cs="Arial"/>
                <w:b/>
                <w:szCs w:val="24"/>
              </w:rPr>
              <w:t xml:space="preserve">Interim Approval   </w:t>
            </w: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c>
          <w:tcPr>
            <w:tcW w:w="3005" w:type="dxa"/>
            <w:gridSpan w:val="10"/>
            <w:tcBorders>
              <w:top w:val="single" w:sz="4" w:space="0" w:color="auto"/>
              <w:left w:val="dotted" w:sz="4" w:space="0" w:color="auto"/>
              <w:bottom w:val="dotted" w:sz="4" w:space="0" w:color="auto"/>
            </w:tcBorders>
            <w:shd w:val="clear" w:color="auto" w:fill="D0DBD8" w:themeFill="accent5" w:themeFillTint="99"/>
            <w:vAlign w:val="bottom"/>
          </w:tcPr>
          <w:p w:rsidR="005362B0" w:rsidRPr="00C54EB1" w:rsidRDefault="005362B0" w:rsidP="00133DBF">
            <w:pPr>
              <w:spacing w:before="60" w:beforeAutospacing="1" w:after="60" w:afterAutospacing="1"/>
              <w:jc w:val="center"/>
              <w:rPr>
                <w:rFonts w:asciiTheme="minorHAnsi" w:hAnsiTheme="minorHAnsi" w:cs="Arial"/>
                <w:b/>
                <w:szCs w:val="24"/>
              </w:rPr>
            </w:pPr>
            <w:r w:rsidRPr="00C54EB1">
              <w:rPr>
                <w:rFonts w:asciiTheme="minorHAnsi" w:hAnsiTheme="minorHAnsi" w:cs="Arial"/>
                <w:b/>
                <w:szCs w:val="24"/>
              </w:rPr>
              <w:t xml:space="preserve">Final Approval   </w:t>
            </w: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rPr>
          <w:trHeight w:val="116"/>
        </w:trPr>
        <w:tc>
          <w:tcPr>
            <w:tcW w:w="9720" w:type="dxa"/>
            <w:gridSpan w:val="21"/>
            <w:tcBorders>
              <w:top w:val="nil"/>
            </w:tcBorders>
            <w:shd w:val="clear" w:color="auto" w:fill="D0DBD8" w:themeFill="accent5" w:themeFillTint="99"/>
          </w:tcPr>
          <w:p w:rsidR="005362B0" w:rsidRPr="00C54EB1" w:rsidRDefault="005362B0" w:rsidP="00133DBF">
            <w:pPr>
              <w:spacing w:before="20" w:beforeAutospacing="1" w:after="20" w:afterAutospacing="1"/>
              <w:rPr>
                <w:rFonts w:asciiTheme="minorHAnsi" w:hAnsiTheme="minorHAnsi" w:cs="Arial"/>
                <w:i/>
                <w:szCs w:val="24"/>
              </w:rPr>
            </w:pPr>
            <w:r w:rsidRPr="00C54EB1">
              <w:rPr>
                <w:rFonts w:asciiTheme="minorHAnsi" w:hAnsiTheme="minorHAnsi" w:cs="Arial"/>
                <w:i/>
                <w:sz w:val="20"/>
                <w:szCs w:val="24"/>
              </w:rPr>
              <w:t>Indicate each product / characteristic the credit union has requested approval to use with a checkmark</w:t>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Interest rate swaps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Basis swaps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Interest rate caps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Interest rate floors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U.S. Treasury note futures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Amortizing notional</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c>
          <w:tcPr>
            <w:tcW w:w="3729" w:type="dxa"/>
            <w:shd w:val="clear" w:color="auto" w:fill="F6F0B8" w:themeFill="accent6" w:themeFillTint="33"/>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Forward start swaps</w:t>
            </w:r>
          </w:p>
        </w:tc>
        <w:tc>
          <w:tcPr>
            <w:tcW w:w="5991" w:type="dxa"/>
            <w:gridSpan w:val="20"/>
            <w:vAlign w:val="center"/>
          </w:tcPr>
          <w:p w:rsidR="005362B0" w:rsidRPr="00C54EB1" w:rsidRDefault="005362B0" w:rsidP="00133DBF">
            <w:pPr>
              <w:spacing w:before="60" w:beforeAutospacing="1" w:after="60" w:afterAutospacing="1"/>
              <w:jc w:val="center"/>
              <w:rPr>
                <w:rFonts w:asciiTheme="minorHAnsi" w:hAnsiTheme="minorHAnsi"/>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p>
        </w:tc>
      </w:tr>
      <w:tr w:rsidR="005362B0" w:rsidRPr="00C54EB1" w:rsidTr="00133DBF">
        <w:trPr>
          <w:trHeight w:val="64"/>
        </w:trPr>
        <w:tc>
          <w:tcPr>
            <w:tcW w:w="9720" w:type="dxa"/>
            <w:gridSpan w:val="21"/>
            <w:shd w:val="clear" w:color="auto" w:fill="2D4B66" w:themeFill="accent3" w:themeFillShade="80"/>
          </w:tcPr>
          <w:p w:rsidR="005362B0" w:rsidRPr="00C54EB1" w:rsidRDefault="005362B0" w:rsidP="00133DBF">
            <w:pPr>
              <w:spacing w:before="60" w:beforeAutospacing="1" w:after="60" w:afterAutospacing="1"/>
              <w:jc w:val="center"/>
              <w:rPr>
                <w:rFonts w:asciiTheme="minorHAnsi" w:hAnsiTheme="minorHAnsi" w:cs="Arial"/>
                <w:b/>
                <w:color w:val="FFFFFF" w:themeColor="background1"/>
                <w:szCs w:val="24"/>
              </w:rPr>
            </w:pPr>
            <w:r w:rsidRPr="00C54EB1">
              <w:rPr>
                <w:rFonts w:asciiTheme="minorHAnsi" w:hAnsiTheme="minorHAnsi"/>
              </w:rPr>
              <w:br w:type="page"/>
            </w:r>
            <w:r w:rsidRPr="00C54EB1">
              <w:rPr>
                <w:rFonts w:asciiTheme="minorHAnsi" w:hAnsiTheme="minorHAnsi" w:cs="Arial"/>
                <w:b/>
                <w:color w:val="FFFFFF" w:themeColor="background1"/>
                <w:szCs w:val="24"/>
              </w:rPr>
              <w:t>NCUA USE ONLY</w:t>
            </w:r>
          </w:p>
        </w:tc>
      </w:tr>
      <w:tr w:rsidR="005362B0" w:rsidRPr="00C54EB1" w:rsidTr="00133DBF">
        <w:tc>
          <w:tcPr>
            <w:tcW w:w="3729" w:type="dxa"/>
            <w:shd w:val="clear" w:color="auto" w:fill="E0E7E5" w:themeFill="accent5" w:themeFillTint="66"/>
          </w:tcPr>
          <w:p w:rsidR="005362B0" w:rsidRPr="00C54EB1" w:rsidRDefault="005362B0" w:rsidP="00133DBF">
            <w:pPr>
              <w:spacing w:before="60" w:beforeAutospacing="1" w:after="60" w:afterAutospacing="1"/>
              <w:rPr>
                <w:rFonts w:asciiTheme="minorHAnsi" w:hAnsiTheme="minorHAnsi" w:cs="Arial"/>
                <w:szCs w:val="24"/>
              </w:rPr>
            </w:pPr>
            <w:r w:rsidRPr="00C54EB1">
              <w:rPr>
                <w:rFonts w:asciiTheme="minorHAnsi" w:hAnsiTheme="minorHAnsi" w:cs="Arial"/>
                <w:szCs w:val="24"/>
              </w:rPr>
              <w:t>Date application received</w:t>
            </w:r>
          </w:p>
        </w:tc>
        <w:tc>
          <w:tcPr>
            <w:tcW w:w="2986" w:type="dxa"/>
            <w:gridSpan w:val="10"/>
            <w:tcBorders>
              <w:right w:val="single" w:sz="18" w:space="0" w:color="auto"/>
            </w:tcBorders>
            <w:vAlign w:val="center"/>
          </w:tcPr>
          <w:p w:rsidR="005362B0" w:rsidRPr="00561259" w:rsidRDefault="005362B0" w:rsidP="00133DBF">
            <w:pPr>
              <w:spacing w:before="60" w:after="60"/>
              <w:rPr>
                <w:rFonts w:asciiTheme="minorHAnsi" w:hAnsiTheme="minorHAnsi" w:cs="Arial"/>
                <w:szCs w:val="24"/>
              </w:rPr>
            </w:pPr>
          </w:p>
        </w:tc>
        <w:tc>
          <w:tcPr>
            <w:tcW w:w="1502" w:type="dxa"/>
            <w:gridSpan w:val="6"/>
            <w:tcBorders>
              <w:top w:val="single" w:sz="18" w:space="0" w:color="auto"/>
              <w:left w:val="single" w:sz="18" w:space="0" w:color="auto"/>
              <w:bottom w:val="single" w:sz="18" w:space="0" w:color="auto"/>
              <w:right w:val="single" w:sz="6" w:space="0" w:color="auto"/>
            </w:tcBorders>
            <w:shd w:val="clear" w:color="auto" w:fill="E0E7E5" w:themeFill="accent5" w:themeFillTint="66"/>
            <w:vAlign w:val="center"/>
          </w:tcPr>
          <w:p w:rsidR="005362B0" w:rsidRPr="00561259" w:rsidRDefault="005362B0" w:rsidP="00133DBF">
            <w:pPr>
              <w:spacing w:before="60" w:beforeAutospacing="1" w:after="60" w:afterAutospacing="1"/>
              <w:jc w:val="center"/>
              <w:rPr>
                <w:rFonts w:asciiTheme="minorHAnsi" w:hAnsiTheme="minorHAnsi" w:cs="Arial"/>
                <w:sz w:val="20"/>
              </w:rPr>
            </w:pPr>
            <w:r w:rsidRPr="00C54EB1">
              <w:rPr>
                <w:rFonts w:asciiTheme="minorHAnsi" w:hAnsiTheme="minorHAnsi" w:cs="Arial"/>
                <w:sz w:val="20"/>
              </w:rPr>
              <w:t>REGION/ONES</w:t>
            </w:r>
          </w:p>
        </w:tc>
        <w:tc>
          <w:tcPr>
            <w:tcW w:w="1503" w:type="dxa"/>
            <w:gridSpan w:val="4"/>
            <w:tcBorders>
              <w:top w:val="single" w:sz="18" w:space="0" w:color="auto"/>
              <w:left w:val="single" w:sz="6" w:space="0" w:color="auto"/>
              <w:bottom w:val="single" w:sz="18" w:space="0" w:color="auto"/>
              <w:right w:val="single" w:sz="18" w:space="0" w:color="auto"/>
            </w:tcBorders>
            <w:vAlign w:val="center"/>
          </w:tcPr>
          <w:p w:rsidR="005362B0" w:rsidRPr="00561259" w:rsidRDefault="005362B0" w:rsidP="00133DBF">
            <w:pPr>
              <w:spacing w:before="60" w:after="60"/>
              <w:jc w:val="center"/>
              <w:rPr>
                <w:rFonts w:asciiTheme="minorHAnsi" w:hAnsiTheme="minorHAnsi" w:cs="Arial"/>
                <w:szCs w:val="24"/>
              </w:rPr>
            </w:pPr>
          </w:p>
        </w:tc>
      </w:tr>
      <w:tr w:rsidR="005362B0" w:rsidRPr="00C54EB1" w:rsidTr="00133DBF">
        <w:tc>
          <w:tcPr>
            <w:tcW w:w="3729" w:type="dxa"/>
            <w:shd w:val="clear" w:color="auto" w:fill="E0E7E5" w:themeFill="accent5" w:themeFillTint="66"/>
          </w:tcPr>
          <w:p w:rsidR="005362B0" w:rsidRPr="00C54EB1" w:rsidRDefault="005362B0" w:rsidP="00133DBF">
            <w:pPr>
              <w:spacing w:before="60" w:beforeAutospacing="1" w:after="60" w:afterAutospacing="1"/>
              <w:rPr>
                <w:rFonts w:asciiTheme="minorHAnsi" w:hAnsiTheme="minorHAnsi" w:cs="Arial"/>
                <w:i/>
                <w:sz w:val="20"/>
                <w:szCs w:val="24"/>
              </w:rPr>
            </w:pPr>
            <w:r w:rsidRPr="00C54EB1">
              <w:rPr>
                <w:rFonts w:asciiTheme="minorHAnsi" w:hAnsiTheme="minorHAnsi" w:cs="Arial"/>
                <w:szCs w:val="24"/>
              </w:rPr>
              <w:t xml:space="preserve">Review completed by  </w:t>
            </w:r>
            <w:r w:rsidRPr="00C54EB1">
              <w:rPr>
                <w:rFonts w:asciiTheme="minorHAnsi" w:hAnsiTheme="minorHAnsi" w:cs="Arial"/>
                <w:i/>
                <w:sz w:val="20"/>
                <w:szCs w:val="24"/>
              </w:rPr>
              <w:t>(name)</w:t>
            </w:r>
          </w:p>
        </w:tc>
        <w:tc>
          <w:tcPr>
            <w:tcW w:w="5991" w:type="dxa"/>
            <w:gridSpan w:val="20"/>
            <w:vAlign w:val="center"/>
          </w:tcPr>
          <w:p w:rsidR="005362B0" w:rsidRPr="00561259" w:rsidRDefault="005362B0" w:rsidP="00133DBF">
            <w:pPr>
              <w:spacing w:before="60" w:after="60"/>
              <w:rPr>
                <w:rFonts w:asciiTheme="minorHAnsi" w:hAnsiTheme="minorHAnsi" w:cs="Arial"/>
                <w:szCs w:val="24"/>
              </w:rPr>
            </w:pPr>
          </w:p>
        </w:tc>
      </w:tr>
      <w:tr w:rsidR="005362B0" w:rsidRPr="00C54EB1" w:rsidTr="00133DBF">
        <w:tc>
          <w:tcPr>
            <w:tcW w:w="3729" w:type="dxa"/>
            <w:shd w:val="clear" w:color="auto" w:fill="E0E7E5" w:themeFill="accent5" w:themeFillTint="66"/>
          </w:tcPr>
          <w:p w:rsidR="005362B0" w:rsidRPr="00C54EB1" w:rsidRDefault="005362B0" w:rsidP="00133DBF">
            <w:pPr>
              <w:spacing w:before="60" w:beforeAutospacing="1" w:after="60" w:afterAutospacing="1"/>
              <w:rPr>
                <w:rFonts w:asciiTheme="minorHAnsi" w:hAnsiTheme="minorHAnsi" w:cs="Arial"/>
                <w:i/>
                <w:sz w:val="20"/>
                <w:szCs w:val="24"/>
              </w:rPr>
            </w:pPr>
            <w:r w:rsidRPr="00C54EB1">
              <w:rPr>
                <w:rFonts w:asciiTheme="minorHAnsi" w:hAnsiTheme="minorHAnsi" w:cs="Arial"/>
                <w:szCs w:val="24"/>
              </w:rPr>
              <w:t xml:space="preserve">Credit union eligibility  </w:t>
            </w:r>
            <w:r w:rsidRPr="00C54EB1">
              <w:rPr>
                <w:rFonts w:asciiTheme="minorHAnsi" w:hAnsiTheme="minorHAnsi" w:cs="Arial"/>
                <w:i/>
                <w:sz w:val="20"/>
                <w:szCs w:val="24"/>
              </w:rPr>
              <w:t>(check one)</w:t>
            </w:r>
          </w:p>
        </w:tc>
        <w:tc>
          <w:tcPr>
            <w:tcW w:w="1995" w:type="dxa"/>
            <w:gridSpan w:val="6"/>
          </w:tcPr>
          <w:p w:rsidR="005362B0" w:rsidRPr="00C54EB1" w:rsidRDefault="005362B0" w:rsidP="00133DBF">
            <w:pPr>
              <w:spacing w:before="60" w:beforeAutospacing="1" w:after="60" w:afterAutospacing="1"/>
              <w:ind w:left="310" w:hanging="310"/>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Eligible </w:t>
            </w:r>
            <w:r w:rsidRPr="00C54EB1">
              <w:rPr>
                <w:rFonts w:asciiTheme="minorHAnsi" w:hAnsiTheme="minorHAnsi"/>
                <w:i/>
                <w:sz w:val="20"/>
                <w:szCs w:val="24"/>
              </w:rPr>
              <w:t>(standard)</w:t>
            </w:r>
          </w:p>
        </w:tc>
        <w:tc>
          <w:tcPr>
            <w:tcW w:w="1996" w:type="dxa"/>
            <w:gridSpan w:val="7"/>
          </w:tcPr>
          <w:p w:rsidR="005362B0" w:rsidRPr="00C54EB1" w:rsidRDefault="005362B0" w:rsidP="00133DBF">
            <w:pPr>
              <w:spacing w:before="60" w:beforeAutospacing="1" w:after="60" w:afterAutospacing="1"/>
              <w:ind w:left="343" w:hanging="369"/>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Eligible </w:t>
            </w:r>
            <w:r w:rsidRPr="00C54EB1">
              <w:rPr>
                <w:rFonts w:asciiTheme="minorHAnsi" w:hAnsiTheme="minorHAnsi"/>
                <w:szCs w:val="24"/>
              </w:rPr>
              <w:br/>
            </w:r>
            <w:r w:rsidRPr="00C54EB1">
              <w:rPr>
                <w:rFonts w:asciiTheme="minorHAnsi" w:hAnsiTheme="minorHAnsi"/>
                <w:i/>
                <w:sz w:val="20"/>
                <w:szCs w:val="24"/>
              </w:rPr>
              <w:t>(FD approved)</w:t>
            </w:r>
            <w:r w:rsidRPr="00C54EB1">
              <w:rPr>
                <w:rFonts w:asciiTheme="minorHAnsi" w:hAnsiTheme="minorHAnsi"/>
                <w:sz w:val="20"/>
                <w:szCs w:val="24"/>
                <w:vertAlign w:val="superscript"/>
              </w:rPr>
              <w:t>2</w:t>
            </w:r>
          </w:p>
        </w:tc>
        <w:tc>
          <w:tcPr>
            <w:tcW w:w="2000" w:type="dxa"/>
            <w:gridSpan w:val="7"/>
          </w:tcPr>
          <w:p w:rsidR="005362B0" w:rsidRPr="00C54EB1" w:rsidRDefault="005362B0" w:rsidP="00133DBF">
            <w:pPr>
              <w:spacing w:before="60" w:beforeAutospacing="1" w:after="60" w:afterAutospacing="1"/>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Ineligible</w:t>
            </w:r>
          </w:p>
        </w:tc>
      </w:tr>
      <w:tr w:rsidR="005362B0" w:rsidRPr="00C54EB1" w:rsidTr="00133DBF">
        <w:tc>
          <w:tcPr>
            <w:tcW w:w="3729" w:type="dxa"/>
            <w:shd w:val="clear" w:color="auto" w:fill="E0E7E5" w:themeFill="accent5" w:themeFillTint="66"/>
          </w:tcPr>
          <w:p w:rsidR="005362B0" w:rsidRPr="00C54EB1" w:rsidRDefault="005362B0" w:rsidP="00133DBF">
            <w:pPr>
              <w:spacing w:before="60" w:beforeAutospacing="1" w:after="60" w:afterAutospacing="1"/>
              <w:rPr>
                <w:rFonts w:asciiTheme="minorHAnsi" w:hAnsiTheme="minorHAnsi" w:cs="Arial"/>
                <w:i/>
                <w:sz w:val="20"/>
                <w:szCs w:val="24"/>
              </w:rPr>
            </w:pPr>
            <w:r w:rsidRPr="00C54EB1">
              <w:rPr>
                <w:rFonts w:asciiTheme="minorHAnsi" w:hAnsiTheme="minorHAnsi" w:cs="Arial"/>
                <w:szCs w:val="24"/>
              </w:rPr>
              <w:t xml:space="preserve">Limits  </w:t>
            </w:r>
            <w:r w:rsidRPr="00C54EB1">
              <w:rPr>
                <w:rFonts w:asciiTheme="minorHAnsi" w:hAnsiTheme="minorHAnsi" w:cs="Arial"/>
                <w:i/>
                <w:sz w:val="20"/>
                <w:szCs w:val="24"/>
              </w:rPr>
              <w:t>(check one)</w:t>
            </w:r>
          </w:p>
        </w:tc>
        <w:tc>
          <w:tcPr>
            <w:tcW w:w="2986" w:type="dxa"/>
            <w:gridSpan w:val="10"/>
            <w:vAlign w:val="center"/>
          </w:tcPr>
          <w:p w:rsidR="005362B0" w:rsidRPr="00C54EB1" w:rsidRDefault="005362B0" w:rsidP="00133DBF">
            <w:pPr>
              <w:spacing w:before="60" w:beforeAutospacing="1" w:after="60" w:afterAutospacing="1"/>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Entry limits</w:t>
            </w:r>
          </w:p>
        </w:tc>
        <w:tc>
          <w:tcPr>
            <w:tcW w:w="3005" w:type="dxa"/>
            <w:gridSpan w:val="10"/>
            <w:vAlign w:val="center"/>
          </w:tcPr>
          <w:p w:rsidR="005362B0" w:rsidRPr="00C54EB1" w:rsidRDefault="005362B0" w:rsidP="00133DBF">
            <w:pPr>
              <w:spacing w:before="60" w:beforeAutospacing="1" w:after="60" w:afterAutospacing="1"/>
              <w:rPr>
                <w:rFonts w:asciiTheme="minorHAnsi" w:hAnsiTheme="minorHAnsi" w:cs="Arial"/>
                <w:szCs w:val="24"/>
              </w:rPr>
            </w:pPr>
            <w:r w:rsidRPr="00561259">
              <w:rPr>
                <w:rFonts w:asciiTheme="minorHAnsi" w:hAnsiTheme="minorHAnsi"/>
                <w:szCs w:val="24"/>
              </w:rPr>
              <w:fldChar w:fldCharType="begin">
                <w:ffData>
                  <w:name w:val="Check1"/>
                  <w:enabled/>
                  <w:calcOnExit w:val="0"/>
                  <w:checkBox>
                    <w:sizeAuto/>
                    <w:default w:val="0"/>
                  </w:checkBox>
                </w:ffData>
              </w:fldChar>
            </w:r>
            <w:r w:rsidRPr="00C54EB1">
              <w:rPr>
                <w:rFonts w:asciiTheme="minorHAnsi" w:hAnsiTheme="minorHAnsi"/>
                <w:szCs w:val="24"/>
              </w:rPr>
              <w:instrText xml:space="preserve"> FORMCHECKBOX </w:instrText>
            </w:r>
            <w:r w:rsidR="002E434E">
              <w:rPr>
                <w:rFonts w:asciiTheme="minorHAnsi" w:hAnsiTheme="minorHAnsi"/>
                <w:szCs w:val="24"/>
              </w:rPr>
            </w:r>
            <w:r w:rsidR="002E434E">
              <w:rPr>
                <w:rFonts w:asciiTheme="minorHAnsi" w:hAnsiTheme="minorHAnsi"/>
                <w:szCs w:val="24"/>
              </w:rPr>
              <w:fldChar w:fldCharType="separate"/>
            </w:r>
            <w:r w:rsidRPr="00561259">
              <w:rPr>
                <w:rFonts w:asciiTheme="minorHAnsi" w:hAnsiTheme="minorHAnsi"/>
                <w:szCs w:val="24"/>
              </w:rPr>
              <w:fldChar w:fldCharType="end"/>
            </w:r>
            <w:r w:rsidRPr="00C54EB1">
              <w:rPr>
                <w:rFonts w:asciiTheme="minorHAnsi" w:hAnsiTheme="minorHAnsi"/>
                <w:szCs w:val="24"/>
              </w:rPr>
              <w:t xml:space="preserve"> Standard limits</w:t>
            </w:r>
          </w:p>
        </w:tc>
      </w:tr>
    </w:tbl>
    <w:p w:rsidR="007E0B58" w:rsidRDefault="007E0B58" w:rsidP="005362B0"/>
    <w:p w:rsidR="005362B0" w:rsidRDefault="005362B0" w:rsidP="005362B0">
      <w:r>
        <w:br w:type="page"/>
      </w:r>
    </w:p>
    <w:p w:rsidR="005362B0" w:rsidRPr="00561259" w:rsidRDefault="005362B0" w:rsidP="005362B0">
      <w:pPr>
        <w:rPr>
          <w:rFonts w:eastAsia="Times New Roman" w:cs="Times New Roman"/>
          <w:bCs/>
          <w:i/>
          <w:szCs w:val="24"/>
        </w:rPr>
      </w:pPr>
      <w:r w:rsidRPr="00561259">
        <w:rPr>
          <w:rFonts w:eastAsia="Times New Roman" w:cs="Times New Roman"/>
          <w:bCs/>
          <w:i/>
          <w:szCs w:val="24"/>
        </w:rPr>
        <w:lastRenderedPageBreak/>
        <w:t>After the field office determines if an application is complete and evaluated the safety and soundness of the credit union, the application will be reviewed by a panel from a qualitative perspective. Each member of the panel must complete their respective comment boxes to provide support for the overall assessment of the application.</w:t>
      </w:r>
    </w:p>
    <w:p w:rsidR="005362B0" w:rsidRDefault="005362B0" w:rsidP="005362B0">
      <w:pPr>
        <w:pStyle w:val="BodyText"/>
        <w:spacing w:after="0"/>
        <w:rPr>
          <w:rFonts w:eastAsiaTheme="minorHAnsi" w:cstheme="minorBidi"/>
          <w:szCs w:val="22"/>
        </w:rPr>
      </w:pPr>
    </w:p>
    <w:p w:rsidR="005362B0" w:rsidRDefault="005362B0" w:rsidP="005362B0">
      <w:pPr>
        <w:pStyle w:val="BodyText"/>
        <w:spacing w:after="0"/>
        <w:rPr>
          <w:rFonts w:eastAsiaTheme="minorHAnsi" w:cstheme="minorBidi"/>
          <w:szCs w:val="22"/>
        </w:rPr>
      </w:pPr>
    </w:p>
    <w:tbl>
      <w:tblPr>
        <w:tblW w:w="5000" w:type="pct"/>
        <w:tblLook w:val="04A0" w:firstRow="1" w:lastRow="0" w:firstColumn="1" w:lastColumn="0" w:noHBand="0" w:noVBand="1"/>
      </w:tblPr>
      <w:tblGrid>
        <w:gridCol w:w="465"/>
        <w:gridCol w:w="3787"/>
        <w:gridCol w:w="1823"/>
        <w:gridCol w:w="1823"/>
        <w:gridCol w:w="1822"/>
      </w:tblGrid>
      <w:tr w:rsidR="005362B0" w:rsidRPr="00C54EB1" w:rsidTr="00133DBF">
        <w:trPr>
          <w:cantSplit/>
          <w:trHeight w:val="465"/>
        </w:trPr>
        <w:tc>
          <w:tcPr>
            <w:tcW w:w="5000" w:type="pct"/>
            <w:gridSpan w:val="5"/>
            <w:tcBorders>
              <w:top w:val="nil"/>
              <w:left w:val="nil"/>
              <w:bottom w:val="nil"/>
              <w:right w:val="nil"/>
            </w:tcBorders>
            <w:shd w:val="clear" w:color="000000" w:fill="C0C0C0"/>
            <w:hideMark/>
          </w:tcPr>
          <w:p w:rsidR="005362B0" w:rsidRPr="00561259" w:rsidRDefault="005362B0" w:rsidP="00133DBF">
            <w:pPr>
              <w:jc w:val="center"/>
              <w:rPr>
                <w:rFonts w:asciiTheme="minorHAnsi" w:eastAsia="Times New Roman" w:hAnsiTheme="minorHAnsi" w:cs="Arial"/>
                <w:b/>
                <w:bCs/>
                <w:sz w:val="22"/>
                <w:szCs w:val="36"/>
              </w:rPr>
            </w:pPr>
            <w:r w:rsidRPr="00561259">
              <w:rPr>
                <w:rFonts w:asciiTheme="minorHAnsi" w:eastAsia="Times New Roman" w:hAnsiTheme="minorHAnsi" w:cs="Arial"/>
                <w:b/>
                <w:bCs/>
                <w:sz w:val="22"/>
                <w:szCs w:val="36"/>
              </w:rPr>
              <w:t>Derivatives Application Qualitative Review</w:t>
            </w:r>
          </w:p>
          <w:p w:rsidR="005362B0" w:rsidRPr="00561259" w:rsidRDefault="005362B0" w:rsidP="00133DBF">
            <w:pPr>
              <w:jc w:val="center"/>
              <w:rPr>
                <w:rFonts w:asciiTheme="minorHAnsi" w:eastAsia="Times New Roman" w:hAnsiTheme="minorHAnsi" w:cs="Arial"/>
                <w:b/>
                <w:bCs/>
                <w:sz w:val="22"/>
                <w:szCs w:val="36"/>
              </w:rPr>
            </w:pPr>
            <w:r w:rsidRPr="00561259">
              <w:rPr>
                <w:rFonts w:asciiTheme="minorHAnsi" w:eastAsia="Times New Roman" w:hAnsiTheme="minorHAnsi" w:cs="Arial"/>
                <w:b/>
                <w:bCs/>
                <w:sz w:val="22"/>
                <w:szCs w:val="36"/>
              </w:rPr>
              <w:t>(Interim Approval)</w:t>
            </w:r>
          </w:p>
        </w:tc>
      </w:tr>
      <w:tr w:rsidR="005362B0" w:rsidRPr="00C54EB1" w:rsidTr="00133DBF">
        <w:trPr>
          <w:cantSplit/>
          <w:trHeight w:val="660"/>
        </w:trPr>
        <w:tc>
          <w:tcPr>
            <w:tcW w:w="239" w:type="pct"/>
            <w:tcBorders>
              <w:top w:val="nil"/>
              <w:left w:val="nil"/>
              <w:bottom w:val="nil"/>
              <w:right w:val="nil"/>
            </w:tcBorders>
            <w:shd w:val="clear" w:color="000000" w:fill="F2F2F2"/>
            <w:hideMark/>
          </w:tcPr>
          <w:p w:rsidR="005362B0" w:rsidRPr="00561259" w:rsidRDefault="005362B0" w:rsidP="00133DBF">
            <w:pPr>
              <w:rPr>
                <w:rFonts w:asciiTheme="minorHAnsi" w:eastAsia="Times New Roman" w:hAnsiTheme="minorHAnsi" w:cs="Arial"/>
                <w:sz w:val="22"/>
                <w:szCs w:val="20"/>
              </w:rPr>
            </w:pPr>
            <w:r w:rsidRPr="00561259">
              <w:rPr>
                <w:rFonts w:asciiTheme="minorHAnsi" w:eastAsia="Times New Roman" w:hAnsiTheme="minorHAnsi" w:cs="Arial"/>
                <w:sz w:val="22"/>
                <w:szCs w:val="20"/>
              </w:rPr>
              <w:t> </w:t>
            </w:r>
          </w:p>
        </w:tc>
        <w:tc>
          <w:tcPr>
            <w:tcW w:w="4761" w:type="pct"/>
            <w:gridSpan w:val="4"/>
            <w:tcBorders>
              <w:top w:val="nil"/>
              <w:left w:val="nil"/>
              <w:bottom w:val="nil"/>
              <w:right w:val="nil"/>
            </w:tcBorders>
            <w:shd w:val="clear" w:color="000000" w:fill="F2F2F2"/>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As part of the initial application process, after regions have determined completeness of the package submitted, a secondary review is to be done from a qualitative perspective.  All members of the panel (Field staff, Field CMS, and </w:t>
            </w:r>
            <w:proofErr w:type="spellStart"/>
            <w:r w:rsidRPr="00561259">
              <w:rPr>
                <w:rFonts w:asciiTheme="minorHAnsi" w:eastAsia="Times New Roman" w:hAnsiTheme="minorHAnsi" w:cs="Arial"/>
                <w:sz w:val="22"/>
                <w:szCs w:val="24"/>
              </w:rPr>
              <w:t>SCMS</w:t>
            </w:r>
            <w:proofErr w:type="spellEnd"/>
            <w:r w:rsidRPr="00561259">
              <w:rPr>
                <w:rFonts w:asciiTheme="minorHAnsi" w:eastAsia="Times New Roman" w:hAnsiTheme="minorHAnsi" w:cs="Arial"/>
                <w:sz w:val="22"/>
                <w:szCs w:val="24"/>
              </w:rPr>
              <w:t>) will complete their respective comment boxes to provide support for their overall assessment.</w:t>
            </w:r>
          </w:p>
        </w:tc>
      </w:tr>
      <w:tr w:rsidR="005362B0" w:rsidRPr="00C54EB1" w:rsidTr="00133DBF">
        <w:trPr>
          <w:cantSplit/>
          <w:trHeight w:val="405"/>
        </w:trPr>
        <w:tc>
          <w:tcPr>
            <w:tcW w:w="5000" w:type="pct"/>
            <w:gridSpan w:val="5"/>
            <w:tcBorders>
              <w:top w:val="nil"/>
              <w:left w:val="nil"/>
              <w:bottom w:val="nil"/>
              <w:right w:val="nil"/>
            </w:tcBorders>
            <w:shd w:val="clear" w:color="000000" w:fill="DA9694"/>
            <w:vAlign w:val="center"/>
            <w:hideMark/>
          </w:tcPr>
          <w:p w:rsidR="005362B0" w:rsidRPr="00561259" w:rsidRDefault="005362B0" w:rsidP="00133DBF">
            <w:pPr>
              <w:jc w:val="center"/>
              <w:rPr>
                <w:rFonts w:asciiTheme="minorHAnsi" w:eastAsia="Times New Roman" w:hAnsiTheme="minorHAnsi" w:cs="Arial"/>
                <w:b/>
                <w:bCs/>
                <w:sz w:val="22"/>
                <w:szCs w:val="32"/>
              </w:rPr>
            </w:pPr>
            <w:r w:rsidRPr="00561259">
              <w:rPr>
                <w:rFonts w:asciiTheme="minorHAnsi" w:eastAsia="Times New Roman" w:hAnsiTheme="minorHAnsi" w:cs="Arial"/>
                <w:b/>
                <w:bCs/>
                <w:sz w:val="22"/>
                <w:szCs w:val="32"/>
              </w:rPr>
              <w:t>Interim Application Review</w:t>
            </w:r>
          </w:p>
        </w:tc>
      </w:tr>
      <w:tr w:rsidR="005362B0" w:rsidRPr="00C54EB1" w:rsidTr="00133DBF">
        <w:trPr>
          <w:cantSplit/>
          <w:trHeight w:val="552"/>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1948"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4"/>
              </w:rPr>
            </w:pPr>
          </w:p>
        </w:tc>
        <w:tc>
          <w:tcPr>
            <w:tcW w:w="938" w:type="pct"/>
            <w:tcBorders>
              <w:top w:val="single" w:sz="4" w:space="0" w:color="auto"/>
              <w:left w:val="single" w:sz="4" w:space="0" w:color="auto"/>
              <w:bottom w:val="nil"/>
              <w:right w:val="single" w:sz="4" w:space="0" w:color="auto"/>
            </w:tcBorders>
            <w:shd w:val="clear" w:color="000000" w:fill="F2F2F2"/>
            <w:vAlign w:val="center"/>
            <w:hideMark/>
          </w:tcPr>
          <w:p w:rsidR="005362B0" w:rsidRPr="00561259" w:rsidRDefault="005362B0" w:rsidP="00133DBF">
            <w:pPr>
              <w:spacing w:before="100" w:beforeAutospacing="1" w:afterAutospacing="1"/>
              <w:jc w:val="cente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Field Staff Comments</w:t>
            </w:r>
          </w:p>
        </w:tc>
        <w:tc>
          <w:tcPr>
            <w:tcW w:w="938" w:type="pct"/>
            <w:tcBorders>
              <w:top w:val="single" w:sz="4" w:space="0" w:color="auto"/>
              <w:left w:val="nil"/>
              <w:bottom w:val="nil"/>
              <w:right w:val="single" w:sz="4" w:space="0" w:color="auto"/>
            </w:tcBorders>
            <w:shd w:val="clear" w:color="000000" w:fill="F2F2F2"/>
            <w:vAlign w:val="center"/>
            <w:hideMark/>
          </w:tcPr>
          <w:p w:rsidR="005362B0" w:rsidRPr="00561259" w:rsidRDefault="005362B0" w:rsidP="00133DBF">
            <w:pPr>
              <w:jc w:val="cente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Field CMS Comments</w:t>
            </w:r>
          </w:p>
        </w:tc>
        <w:tc>
          <w:tcPr>
            <w:tcW w:w="937" w:type="pct"/>
            <w:tcBorders>
              <w:top w:val="single" w:sz="4" w:space="0" w:color="auto"/>
              <w:left w:val="nil"/>
              <w:bottom w:val="nil"/>
              <w:right w:val="single" w:sz="4" w:space="0" w:color="auto"/>
            </w:tcBorders>
            <w:shd w:val="clear" w:color="000000" w:fill="F2F2F2"/>
            <w:vAlign w:val="center"/>
            <w:hideMark/>
          </w:tcPr>
          <w:p w:rsidR="005362B0" w:rsidRPr="00561259" w:rsidRDefault="005362B0" w:rsidP="00133DBF">
            <w:pPr>
              <w:jc w:val="center"/>
              <w:rPr>
                <w:rFonts w:asciiTheme="minorHAnsi" w:eastAsia="Times New Roman" w:hAnsiTheme="minorHAnsi" w:cs="Arial"/>
                <w:b/>
                <w:bCs/>
                <w:sz w:val="22"/>
                <w:szCs w:val="24"/>
              </w:rPr>
            </w:pPr>
            <w:proofErr w:type="spellStart"/>
            <w:r w:rsidRPr="00561259">
              <w:rPr>
                <w:rFonts w:asciiTheme="minorHAnsi" w:eastAsia="Times New Roman" w:hAnsiTheme="minorHAnsi" w:cs="Arial"/>
                <w:b/>
                <w:bCs/>
                <w:sz w:val="22"/>
                <w:szCs w:val="24"/>
              </w:rPr>
              <w:t>SCMS</w:t>
            </w:r>
            <w:proofErr w:type="spellEnd"/>
            <w:r w:rsidRPr="00561259">
              <w:rPr>
                <w:rFonts w:asciiTheme="minorHAnsi" w:eastAsia="Times New Roman" w:hAnsiTheme="minorHAnsi" w:cs="Arial"/>
                <w:b/>
                <w:bCs/>
                <w:sz w:val="22"/>
                <w:szCs w:val="24"/>
              </w:rPr>
              <w:t xml:space="preserve"> Comments </w:t>
            </w:r>
          </w:p>
        </w:tc>
      </w:tr>
      <w:tr w:rsidR="005362B0" w:rsidRPr="00C54EB1" w:rsidTr="00133DBF">
        <w:trPr>
          <w:cantSplit/>
          <w:trHeight w:val="1335"/>
        </w:trPr>
        <w:tc>
          <w:tcPr>
            <w:tcW w:w="239" w:type="pct"/>
            <w:tcBorders>
              <w:top w:val="nil"/>
              <w:left w:val="nil"/>
              <w:bottom w:val="nil"/>
              <w:right w:val="nil"/>
            </w:tcBorders>
            <w:shd w:val="clear" w:color="auto" w:fill="auto"/>
            <w:noWrap/>
            <w:vAlign w:val="bottom"/>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w:t>
            </w: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b/>
                <w:bCs/>
                <w:sz w:val="22"/>
                <w:szCs w:val="24"/>
              </w:rPr>
              <w:t>Safety and Soundness (Field Staff Only</w:t>
            </w:r>
            <w:proofErr w:type="gramStart"/>
            <w:r w:rsidRPr="00561259">
              <w:rPr>
                <w:rFonts w:asciiTheme="minorHAnsi" w:eastAsia="Times New Roman" w:hAnsiTheme="minorHAnsi" w:cs="Arial"/>
                <w:b/>
                <w:bCs/>
                <w:sz w:val="22"/>
                <w:szCs w:val="24"/>
              </w:rPr>
              <w:t>)</w:t>
            </w:r>
            <w:proofErr w:type="gramEnd"/>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 xml:space="preserve">A credit union that plans to engage in derivatives activity is expected to be operated in a safe and sound manner.  A preliminary review of the credit union's examination and supervision history and an evaluation of the status of any outstanding material supervisory concerns </w:t>
            </w:r>
            <w:r>
              <w:rPr>
                <w:rFonts w:asciiTheme="minorHAnsi" w:eastAsia="Times New Roman" w:hAnsiTheme="minorHAnsi" w:cs="Arial"/>
                <w:sz w:val="22"/>
                <w:szCs w:val="24"/>
              </w:rPr>
              <w:t>are</w:t>
            </w:r>
            <w:r w:rsidRPr="00561259">
              <w:rPr>
                <w:rFonts w:asciiTheme="minorHAnsi" w:eastAsia="Times New Roman" w:hAnsiTheme="minorHAnsi" w:cs="Arial"/>
                <w:sz w:val="22"/>
                <w:szCs w:val="24"/>
              </w:rPr>
              <w:t xml:space="preserve"> essential to determining whether a credit union should be granted derivatives authority.</w:t>
            </w:r>
          </w:p>
        </w:tc>
      </w:tr>
      <w:tr w:rsidR="005362B0" w:rsidRPr="00C54EB1" w:rsidTr="00133DBF">
        <w:trPr>
          <w:cantSplit/>
          <w:trHeight w:val="728"/>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Does the credit union's asset size and CAMEL code meet the minimum qualifications to apply for derivative authority?</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341"/>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Review current </w:t>
            </w:r>
            <w:proofErr w:type="spellStart"/>
            <w:r w:rsidRPr="00561259">
              <w:rPr>
                <w:rFonts w:asciiTheme="minorHAnsi" w:eastAsia="Times New Roman" w:hAnsiTheme="minorHAnsi" w:cs="Arial"/>
                <w:sz w:val="22"/>
                <w:szCs w:val="24"/>
              </w:rPr>
              <w:t>FPR</w:t>
            </w:r>
            <w:proofErr w:type="spellEnd"/>
            <w:r w:rsidRPr="00561259">
              <w:rPr>
                <w:rFonts w:asciiTheme="minorHAnsi" w:eastAsia="Times New Roman" w:hAnsiTheme="minorHAnsi" w:cs="Arial"/>
                <w:sz w:val="22"/>
                <w:szCs w:val="24"/>
              </w:rPr>
              <w:t xml:space="preserve"> and discuss the strength of the current financial condition and trends.</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3</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Review most recent examination and/or supervision contact reports; discuss current CAMEL code, risk ratings and any outstanding material </w:t>
            </w:r>
            <w:proofErr w:type="spellStart"/>
            <w:r w:rsidRPr="00561259">
              <w:rPr>
                <w:rFonts w:asciiTheme="minorHAnsi" w:eastAsia="Times New Roman" w:hAnsiTheme="minorHAnsi" w:cs="Arial"/>
                <w:sz w:val="22"/>
                <w:szCs w:val="24"/>
              </w:rPr>
              <w:t>DOR</w:t>
            </w:r>
            <w:proofErr w:type="spellEnd"/>
            <w:r w:rsidRPr="00561259">
              <w:rPr>
                <w:rFonts w:asciiTheme="minorHAnsi" w:eastAsia="Times New Roman" w:hAnsiTheme="minorHAnsi" w:cs="Arial"/>
                <w:sz w:val="22"/>
                <w:szCs w:val="24"/>
              </w:rPr>
              <w:t xml:space="preserve"> or examiners findings.</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656"/>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4</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Review most recent Quality Control Review, Supervisory Evaluation Form and RATE review.  Discuss any material issues identified in these reviews.</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vAlign w:val="bottom"/>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bl>
    <w:p w:rsidR="005362B0" w:rsidRDefault="005362B0" w:rsidP="005362B0">
      <w:r>
        <w:br w:type="page"/>
      </w:r>
    </w:p>
    <w:tbl>
      <w:tblPr>
        <w:tblW w:w="5000" w:type="pct"/>
        <w:tblLook w:val="04A0" w:firstRow="1" w:lastRow="0" w:firstColumn="1" w:lastColumn="0" w:noHBand="0" w:noVBand="1"/>
      </w:tblPr>
      <w:tblGrid>
        <w:gridCol w:w="465"/>
        <w:gridCol w:w="3787"/>
        <w:gridCol w:w="1823"/>
        <w:gridCol w:w="1823"/>
        <w:gridCol w:w="1822"/>
      </w:tblGrid>
      <w:tr w:rsidR="005362B0" w:rsidRPr="00C54EB1" w:rsidTr="00133DBF">
        <w:trPr>
          <w:cantSplit/>
          <w:trHeight w:val="1620"/>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b/>
                <w:bCs/>
                <w:sz w:val="22"/>
                <w:szCs w:val="24"/>
              </w:rPr>
              <w:t>Derivative Transaction and Limit Compliance</w:t>
            </w:r>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Understanding what products and hedging strategies to be implemented by the credit union is a critical part of the application.  The credit union must demonstrate what products and characteristics are being used in the application. Product descriptions should be clear and referenced to the permissible derivatives subsection of the rule 703.102. The application should articulate what the hedging strategy will be in mitigating interest rate risks and how they will measure and monitor the positions against the prescribed limits.</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5</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Products (§703.102</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indicates what products the credit union plans on using and what the hedging objectives are. This should include what balance sheet characteristics are contributing to the interest rate risk, and how derivatives will reduce this risk.</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476"/>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6</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Transaction Characteristics (§703.102)</w:t>
            </w:r>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If applicable, application indicates if credit union will use notational amortization or forward start date features, and what the credit union’s hedging objectives are.</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7</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Limits Authority (§703.103)</w:t>
            </w:r>
          </w:p>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sz w:val="22"/>
                <w:szCs w:val="24"/>
              </w:rPr>
              <w:t>Credit union recognizes the risk limits associated with the program and indicates how it will comply with them. This is required whether credit union applies with or without prior derivatives experience.</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vAlign w:val="bottom"/>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2220"/>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b/>
                <w:bCs/>
                <w:sz w:val="22"/>
                <w:szCs w:val="24"/>
              </w:rPr>
              <w:t>External Service Providers (including trade counterparties</w:t>
            </w:r>
            <w:proofErr w:type="gramStart"/>
            <w:r w:rsidRPr="00561259">
              <w:rPr>
                <w:rFonts w:asciiTheme="minorHAnsi" w:eastAsia="Times New Roman" w:hAnsiTheme="minorHAnsi" w:cs="Arial"/>
                <w:b/>
                <w:bCs/>
                <w:sz w:val="22"/>
                <w:szCs w:val="24"/>
              </w:rPr>
              <w:t>)</w:t>
            </w:r>
            <w:proofErr w:type="gramEnd"/>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 xml:space="preserve">External Service Providers (ESPs), including transaction counterparties, are a critical component of operating a derivatives program.  For transactions; the execution of transactions, the servicing of margin calls, the custodial duties of managing collateral, and in most cases providing current valuations of the transactions.  For </w:t>
            </w:r>
            <w:r w:rsidRPr="00561259">
              <w:rPr>
                <w:rFonts w:asciiTheme="minorHAnsi" w:eastAsia="Times New Roman" w:hAnsiTheme="minorHAnsi" w:cs="Arial"/>
                <w:i/>
                <w:iCs/>
                <w:sz w:val="22"/>
                <w:szCs w:val="24"/>
              </w:rPr>
              <w:t>operational support functions</w:t>
            </w:r>
            <w:r w:rsidRPr="00561259">
              <w:rPr>
                <w:rFonts w:asciiTheme="minorHAnsi" w:eastAsia="Times New Roman" w:hAnsiTheme="minorHAnsi" w:cs="Arial"/>
                <w:sz w:val="22"/>
                <w:szCs w:val="24"/>
              </w:rPr>
              <w:t xml:space="preserve">, ESPs are a source of generic </w:t>
            </w:r>
            <w:proofErr w:type="spellStart"/>
            <w:r w:rsidRPr="00561259">
              <w:rPr>
                <w:rFonts w:asciiTheme="minorHAnsi" w:eastAsia="Times New Roman" w:hAnsiTheme="minorHAnsi" w:cs="Arial"/>
                <w:sz w:val="22"/>
                <w:szCs w:val="24"/>
              </w:rPr>
              <w:t>ALM</w:t>
            </w:r>
            <w:proofErr w:type="spellEnd"/>
            <w:r w:rsidRPr="00561259">
              <w:rPr>
                <w:rFonts w:asciiTheme="minorHAnsi" w:eastAsia="Times New Roman" w:hAnsiTheme="minorHAnsi" w:cs="Arial"/>
                <w:sz w:val="22"/>
                <w:szCs w:val="24"/>
              </w:rPr>
              <w:t xml:space="preserve"> functions used at many credit unions.  For </w:t>
            </w:r>
            <w:r w:rsidRPr="00561259">
              <w:rPr>
                <w:rFonts w:asciiTheme="minorHAnsi" w:eastAsia="Times New Roman" w:hAnsiTheme="minorHAnsi" w:cs="Arial"/>
                <w:i/>
                <w:iCs/>
                <w:sz w:val="22"/>
                <w:szCs w:val="24"/>
              </w:rPr>
              <w:t xml:space="preserve">transactions, </w:t>
            </w:r>
            <w:r w:rsidRPr="00561259">
              <w:rPr>
                <w:rFonts w:asciiTheme="minorHAnsi" w:eastAsia="Times New Roman" w:hAnsiTheme="minorHAnsi" w:cs="Arial"/>
                <w:sz w:val="22"/>
                <w:szCs w:val="24"/>
              </w:rPr>
              <w:t xml:space="preserve">the type of agreement needed will vary based on the products the credit union has applied for and whether the credit union will use exchanges or use bilateral agreements will determine. For each product, the application should indicate the credit union's approach is and how it plans on supporting the agreement.  For </w:t>
            </w:r>
            <w:r w:rsidRPr="00561259">
              <w:rPr>
                <w:rFonts w:asciiTheme="minorHAnsi" w:eastAsia="Times New Roman" w:hAnsiTheme="minorHAnsi" w:cs="Arial"/>
                <w:i/>
                <w:iCs/>
                <w:sz w:val="22"/>
                <w:szCs w:val="24"/>
              </w:rPr>
              <w:t>support functions</w:t>
            </w:r>
            <w:r w:rsidRPr="00561259">
              <w:rPr>
                <w:rFonts w:asciiTheme="minorHAnsi" w:eastAsia="Times New Roman" w:hAnsiTheme="minorHAnsi" w:cs="Arial"/>
                <w:sz w:val="22"/>
                <w:szCs w:val="24"/>
              </w:rPr>
              <w:t>, the application should be clear on what functions will be supported by an ESP, how each function will integrate back into the credit unions’ operations, and how the credit union will control this process.</w:t>
            </w:r>
          </w:p>
        </w:tc>
      </w:tr>
      <w:tr w:rsidR="005362B0" w:rsidRPr="00C54EB1" w:rsidTr="00133DBF">
        <w:trPr>
          <w:cantSplit/>
          <w:trHeight w:val="728"/>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8</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Trade Counterparties (§703.104</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includes a list of counterparties the credit union plans on using and indicates whether transactions will be cleared, non-cleared, or exchange cleared.</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638"/>
        </w:trPr>
        <w:tc>
          <w:tcPr>
            <w:tcW w:w="239" w:type="pct"/>
            <w:tcBorders>
              <w:top w:val="nil"/>
              <w:left w:val="nil"/>
              <w:bottom w:val="nil"/>
              <w:right w:val="single" w:sz="4" w:space="0" w:color="auto"/>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lastRenderedPageBreak/>
              <w:t>9</w:t>
            </w:r>
          </w:p>
        </w:tc>
        <w:tc>
          <w:tcPr>
            <w:tcW w:w="1948"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Collateral and Margining (§703.104</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indicates how credit union will support the collateral and margining requirements detailed in the rule.</w:t>
            </w:r>
          </w:p>
        </w:tc>
        <w:tc>
          <w:tcPr>
            <w:tcW w:w="938"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539"/>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10</w:t>
            </w:r>
          </w:p>
        </w:tc>
        <w:tc>
          <w:tcPr>
            <w:tcW w:w="1948"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 xml:space="preserve">Support Functions (§703.107) </w:t>
            </w:r>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indicates which ESP(s) credit union will use to support derivatives, what functions the ESP(s) will perform, and how supported functions will be integrated into the credit union’s operations.</w:t>
            </w:r>
          </w:p>
        </w:tc>
        <w:tc>
          <w:tcPr>
            <w:tcW w:w="938" w:type="pct"/>
            <w:tcBorders>
              <w:top w:val="single" w:sz="4" w:space="0" w:color="auto"/>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single" w:sz="4" w:space="0" w:color="auto"/>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89"/>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11</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i/>
                <w:iCs/>
                <w:sz w:val="22"/>
                <w:szCs w:val="24"/>
              </w:rPr>
              <w:t xml:space="preserve">Support Functions (§703.107) </w:t>
            </w:r>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 xml:space="preserve">Credit union must demonstrate how it will support the </w:t>
            </w:r>
            <w:proofErr w:type="spellStart"/>
            <w:r w:rsidRPr="00561259">
              <w:rPr>
                <w:rFonts w:asciiTheme="minorHAnsi" w:eastAsia="Times New Roman" w:hAnsiTheme="minorHAnsi" w:cs="Arial"/>
                <w:sz w:val="22"/>
                <w:szCs w:val="24"/>
              </w:rPr>
              <w:t>ALM</w:t>
            </w:r>
            <w:proofErr w:type="spellEnd"/>
            <w:r w:rsidRPr="00561259">
              <w:rPr>
                <w:rFonts w:asciiTheme="minorHAnsi" w:eastAsia="Times New Roman" w:hAnsiTheme="minorHAnsi" w:cs="Arial"/>
                <w:sz w:val="22"/>
                <w:szCs w:val="24"/>
              </w:rPr>
              <w:t xml:space="preserve"> and liquidity management functions internally and independently.</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12</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i/>
                <w:iCs/>
                <w:sz w:val="22"/>
                <w:szCs w:val="24"/>
              </w:rPr>
              <w:t>Legal Documents (§703.106)</w:t>
            </w:r>
          </w:p>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sz w:val="22"/>
                <w:szCs w:val="24"/>
              </w:rPr>
              <w:br w:type="page"/>
              <w:t>Depending on the approach to ESPs, credit union has indicated what contractual agreements it plans on executing.</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1350"/>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b/>
                <w:bCs/>
                <w:sz w:val="22"/>
                <w:szCs w:val="24"/>
              </w:rPr>
              <w:t>Management Reporting</w:t>
            </w:r>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 xml:space="preserve">Ensuring that a credit union's business plan supports its interest rate risk mitigation plans is a critical part of </w:t>
            </w:r>
            <w:proofErr w:type="spellStart"/>
            <w:r w:rsidRPr="00561259">
              <w:rPr>
                <w:rFonts w:asciiTheme="minorHAnsi" w:eastAsia="Times New Roman" w:hAnsiTheme="minorHAnsi" w:cs="Arial"/>
                <w:sz w:val="22"/>
                <w:szCs w:val="24"/>
              </w:rPr>
              <w:t>ALM</w:t>
            </w:r>
            <w:proofErr w:type="spellEnd"/>
            <w:r w:rsidRPr="00561259">
              <w:rPr>
                <w:rFonts w:asciiTheme="minorHAnsi" w:eastAsia="Times New Roman" w:hAnsiTheme="minorHAnsi" w:cs="Arial"/>
                <w:sz w:val="22"/>
                <w:szCs w:val="24"/>
              </w:rPr>
              <w:t>.  Similar to the topics above, the credit union's understanding of the hedging strategy as part of its overall balance sheet management should be documented.  For internal management reporting, the credit union should have the relevant reporting to indicate the current risks, positions and hedge effectiveness.</w:t>
            </w:r>
          </w:p>
        </w:tc>
      </w:tr>
      <w:tr w:rsidR="005362B0" w:rsidRPr="00C54EB1" w:rsidTr="00133DBF">
        <w:trPr>
          <w:cantSplit/>
          <w:trHeight w:val="341"/>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13</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Risk Mitigation Plan (§703.110)</w:t>
            </w:r>
            <w:r w:rsidRPr="00561259">
              <w:rPr>
                <w:rFonts w:asciiTheme="minorHAnsi" w:eastAsia="Times New Roman" w:hAnsiTheme="minorHAnsi" w:cs="Arial"/>
                <w:sz w:val="22"/>
                <w:szCs w:val="24"/>
              </w:rPr>
              <w:br/>
              <w:t>Application includes plan on how credit union will monitor interest rate risk using derivatives, and analysis of using other balance sheet options, and how new instruments will be incorporated into existing risk reporting.</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539"/>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14</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i/>
                <w:iCs/>
                <w:sz w:val="22"/>
                <w:szCs w:val="24"/>
              </w:rPr>
              <w:t>Risk Mitigation Plan (§703.110</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Credit union indicates what analytical modeling it has done to understand the risk sensitivity of the proposed derivative positions and how effective the hedge will be.</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15</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Internal Reporting (§703.105)</w:t>
            </w:r>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describes how the credit union will modify or develop internal reporting to include derivatives, and report to the Board and senior executive officers as required by the rule.</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1650"/>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Operational Requirements</w:t>
            </w:r>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 xml:space="preserve">How a credit union supports and monitors the oversight of a hedging program is critical to its success.  The governance and management of </w:t>
            </w:r>
            <w:proofErr w:type="spellStart"/>
            <w:r w:rsidRPr="00561259">
              <w:rPr>
                <w:rFonts w:asciiTheme="minorHAnsi" w:eastAsia="Times New Roman" w:hAnsiTheme="minorHAnsi" w:cs="Arial"/>
                <w:sz w:val="22"/>
                <w:szCs w:val="24"/>
              </w:rPr>
              <w:t>ALM</w:t>
            </w:r>
            <w:proofErr w:type="spellEnd"/>
            <w:r w:rsidRPr="00561259">
              <w:rPr>
                <w:rFonts w:asciiTheme="minorHAnsi" w:eastAsia="Times New Roman" w:hAnsiTheme="minorHAnsi" w:cs="Arial"/>
                <w:sz w:val="22"/>
                <w:szCs w:val="24"/>
              </w:rPr>
              <w:t xml:space="preserve"> activities, including derivatives, requires a greater level of sophistication. In this section, assess how management is conducting activities to support a hedging program and how the internal control framework is supporting those activities. Proper separation of duties, a robust internal control framework and the compliance with GAAP for accounting results are the core attributes for this section.</w:t>
            </w:r>
          </w:p>
        </w:tc>
      </w:tr>
      <w:tr w:rsidR="005362B0" w:rsidRPr="00C54EB1" w:rsidTr="00133DBF">
        <w:trPr>
          <w:cantSplit/>
          <w:trHeight w:val="656"/>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16</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Board Resolution (§703.106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includes a resolution from the credit union board of directors or approval in board minutes.</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116"/>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17</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i/>
                <w:iCs/>
                <w:sz w:val="22"/>
                <w:szCs w:val="24"/>
              </w:rPr>
            </w:pPr>
            <w:r w:rsidRPr="00561259">
              <w:rPr>
                <w:rFonts w:asciiTheme="minorHAnsi" w:eastAsia="Times New Roman" w:hAnsiTheme="minorHAnsi" w:cs="Arial"/>
                <w:i/>
                <w:iCs/>
                <w:sz w:val="22"/>
                <w:szCs w:val="24"/>
              </w:rPr>
              <w:t>Senior Executive Officer Oversight (§703.106)</w:t>
            </w:r>
          </w:p>
          <w:p w:rsidR="005362B0" w:rsidRPr="00561259" w:rsidRDefault="005362B0" w:rsidP="00133DBF">
            <w:pPr>
              <w:rPr>
                <w:rFonts w:asciiTheme="minorHAnsi" w:eastAsia="Times New Roman" w:hAnsiTheme="minorHAnsi" w:cs="Arial"/>
                <w:sz w:val="22"/>
                <w:szCs w:val="24"/>
              </w:rPr>
            </w:pPr>
            <w:r w:rsidRPr="00561259">
              <w:rPr>
                <w:rFonts w:asciiTheme="minorHAnsi" w:eastAsia="Times New Roman" w:hAnsiTheme="minorHAnsi" w:cs="Arial"/>
                <w:sz w:val="22"/>
                <w:szCs w:val="24"/>
              </w:rPr>
              <w:t>Application describes how the executive officers will oversee the safety and soundness of the derivatives program.</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359"/>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18</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proofErr w:type="spellStart"/>
            <w:r w:rsidRPr="00561259">
              <w:rPr>
                <w:rFonts w:asciiTheme="minorHAnsi" w:eastAsia="Times New Roman" w:hAnsiTheme="minorHAnsi" w:cs="Arial"/>
                <w:i/>
                <w:iCs/>
                <w:sz w:val="22"/>
                <w:szCs w:val="24"/>
              </w:rPr>
              <w:t>ALM</w:t>
            </w:r>
            <w:proofErr w:type="spellEnd"/>
            <w:r w:rsidRPr="00561259">
              <w:rPr>
                <w:rFonts w:asciiTheme="minorHAnsi" w:eastAsia="Times New Roman" w:hAnsiTheme="minorHAnsi" w:cs="Arial"/>
                <w:i/>
                <w:iCs/>
                <w:sz w:val="22"/>
                <w:szCs w:val="24"/>
              </w:rPr>
              <w:t xml:space="preserve"> Oversight (§703.106)  </w:t>
            </w:r>
            <w:r w:rsidRPr="00561259">
              <w:rPr>
                <w:rFonts w:asciiTheme="minorHAnsi" w:eastAsia="Times New Roman" w:hAnsiTheme="minorHAnsi" w:cs="Arial"/>
                <w:sz w:val="22"/>
                <w:szCs w:val="24"/>
              </w:rPr>
              <w:t xml:space="preserve"> Application details what procedures or plans the credit union will develop or amend on how it will conduct risk oversight of derivatives and integrate derivatives into the overall </w:t>
            </w:r>
            <w:proofErr w:type="spellStart"/>
            <w:r w:rsidRPr="00561259">
              <w:rPr>
                <w:rFonts w:asciiTheme="minorHAnsi" w:eastAsia="Times New Roman" w:hAnsiTheme="minorHAnsi" w:cs="Arial"/>
                <w:sz w:val="22"/>
                <w:szCs w:val="24"/>
              </w:rPr>
              <w:t>ALM</w:t>
            </w:r>
            <w:proofErr w:type="spellEnd"/>
            <w:r w:rsidRPr="00561259">
              <w:rPr>
                <w:rFonts w:asciiTheme="minorHAnsi" w:eastAsia="Times New Roman" w:hAnsiTheme="minorHAnsi" w:cs="Arial"/>
                <w:sz w:val="22"/>
                <w:szCs w:val="24"/>
              </w:rPr>
              <w:t xml:space="preserve"> framework.</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19</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Accounting (§703.106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sz w:val="22"/>
                <w:szCs w:val="24"/>
              </w:rPr>
              <w:br/>
              <w:t>Credit union indicates what accounting designation it plans on using and how it will comply with GAAP, as part of the execution strategy.</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20</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Financial Statement Audit (§703.106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sz w:val="22"/>
                <w:szCs w:val="24"/>
              </w:rPr>
              <w:br/>
              <w:t>Application acknowledges that the credit union is planning to contract with an independent auditor for a year-end financial statement audit.</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21</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Internal Controls (§703.106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acknowledges that an independent (external or internal) review of derivative internal controls for the first two years of the program.</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64"/>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22</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Process Framework (§703.106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sz w:val="22"/>
                <w:szCs w:val="24"/>
              </w:rPr>
              <w:br/>
              <w:t>Application indicates that a documented plan on the process flow will be produced for the final review; the plan should include roles and responsibilities for each of the major functions in supporting derivatives.</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lastRenderedPageBreak/>
              <w:t>23</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i/>
                <w:iCs/>
                <w:sz w:val="22"/>
                <w:szCs w:val="24"/>
              </w:rPr>
              <w:t>Separation of Duties</w:t>
            </w:r>
            <w:r w:rsidRPr="00561259">
              <w:rPr>
                <w:rFonts w:asciiTheme="minorHAnsi" w:eastAsia="Times New Roman" w:hAnsiTheme="minorHAnsi" w:cs="Arial"/>
                <w:b/>
                <w:bCs/>
                <w:i/>
                <w:iCs/>
                <w:sz w:val="22"/>
                <w:szCs w:val="24"/>
              </w:rPr>
              <w:t xml:space="preserve"> </w:t>
            </w:r>
            <w:r w:rsidRPr="00561259">
              <w:rPr>
                <w:rFonts w:asciiTheme="minorHAnsi" w:eastAsia="Times New Roman" w:hAnsiTheme="minorHAnsi" w:cs="Arial"/>
                <w:i/>
                <w:iCs/>
                <w:sz w:val="22"/>
                <w:szCs w:val="24"/>
              </w:rPr>
              <w:t>(§703.106</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Process framework indicates how the credit union will comply with the required separation of duties.</w:t>
            </w:r>
          </w:p>
        </w:tc>
        <w:tc>
          <w:tcPr>
            <w:tcW w:w="938"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8"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bl>
    <w:p w:rsidR="005362B0" w:rsidRDefault="005362B0" w:rsidP="005362B0"/>
    <w:tbl>
      <w:tblPr>
        <w:tblW w:w="5000" w:type="pct"/>
        <w:tblLook w:val="04A0" w:firstRow="1" w:lastRow="0" w:firstColumn="1" w:lastColumn="0" w:noHBand="0" w:noVBand="1"/>
      </w:tblPr>
      <w:tblGrid>
        <w:gridCol w:w="465"/>
        <w:gridCol w:w="3787"/>
        <w:gridCol w:w="1823"/>
        <w:gridCol w:w="1823"/>
        <w:gridCol w:w="1822"/>
      </w:tblGrid>
      <w:tr w:rsidR="005362B0" w:rsidRPr="00C54EB1" w:rsidTr="00133DBF">
        <w:trPr>
          <w:cantSplit/>
          <w:trHeight w:val="315"/>
        </w:trPr>
        <w:tc>
          <w:tcPr>
            <w:tcW w:w="239"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1"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Application Assessment Conclusion and Recommendation (Interim Approval)</w:t>
            </w:r>
          </w:p>
        </w:tc>
      </w:tr>
      <w:tr w:rsidR="005362B0" w:rsidRPr="00C54EB1" w:rsidTr="00133DBF">
        <w:trPr>
          <w:cantSplit/>
          <w:trHeight w:val="449"/>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24</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Pr>
                <w:rFonts w:asciiTheme="minorHAnsi" w:eastAsia="Times New Roman" w:hAnsiTheme="minorHAnsi" w:cs="Arial"/>
                <w:sz w:val="22"/>
                <w:szCs w:val="24"/>
              </w:rPr>
              <w:t>Are</w:t>
            </w:r>
            <w:r w:rsidRPr="00561259">
              <w:rPr>
                <w:rFonts w:asciiTheme="minorHAnsi" w:eastAsia="Times New Roman" w:hAnsiTheme="minorHAnsi" w:cs="Arial"/>
                <w:sz w:val="22"/>
                <w:szCs w:val="24"/>
              </w:rPr>
              <w:t xml:space="preserve"> the application content and business plans sufficient enough to make an assessment?</w:t>
            </w:r>
          </w:p>
        </w:tc>
        <w:tc>
          <w:tcPr>
            <w:tcW w:w="938" w:type="pct"/>
            <w:tcBorders>
              <w:top w:val="nil"/>
              <w:left w:val="nil"/>
              <w:bottom w:val="single" w:sz="4" w:space="0" w:color="auto"/>
              <w:right w:val="single" w:sz="4" w:space="0" w:color="auto"/>
            </w:tcBorders>
            <w:shd w:val="clear" w:color="000000" w:fill="808080"/>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8"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7"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sz w:val="22"/>
                <w:szCs w:val="24"/>
              </w:rPr>
            </w:pPr>
          </w:p>
        </w:tc>
      </w:tr>
      <w:tr w:rsidR="005362B0" w:rsidRPr="00C54EB1" w:rsidTr="00133DBF">
        <w:trPr>
          <w:cantSplit/>
          <w:trHeight w:val="341"/>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25</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What part(s) of the application would need more information if the credit union pursues final" derivatives authority?</w:t>
            </w:r>
          </w:p>
        </w:tc>
        <w:tc>
          <w:tcPr>
            <w:tcW w:w="938" w:type="pct"/>
            <w:tcBorders>
              <w:top w:val="nil"/>
              <w:left w:val="nil"/>
              <w:bottom w:val="single" w:sz="4" w:space="0" w:color="auto"/>
              <w:right w:val="single" w:sz="4" w:space="0" w:color="auto"/>
            </w:tcBorders>
            <w:shd w:val="clear" w:color="000000" w:fill="808080"/>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8"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7"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sz w:val="22"/>
                <w:szCs w:val="24"/>
              </w:rPr>
            </w:pPr>
          </w:p>
        </w:tc>
      </w:tr>
      <w:tr w:rsidR="005362B0" w:rsidRPr="00C54EB1" w:rsidTr="00133DBF">
        <w:trPr>
          <w:cantSplit/>
          <w:trHeight w:val="98"/>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26</w:t>
            </w:r>
          </w:p>
        </w:tc>
        <w:tc>
          <w:tcPr>
            <w:tcW w:w="1948"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Given the information that has been presented to me, and in consultation with the other panel member and field office staff, I recommend to </w:t>
            </w:r>
            <w:r w:rsidRPr="00561259">
              <w:rPr>
                <w:rFonts w:asciiTheme="minorHAnsi" w:eastAsia="Times New Roman" w:hAnsiTheme="minorHAnsi" w:cs="Arial"/>
                <w:b/>
                <w:bCs/>
                <w:sz w:val="22"/>
                <w:szCs w:val="24"/>
              </w:rPr>
              <w:t xml:space="preserve">approve/decline </w:t>
            </w:r>
            <w:r w:rsidRPr="00561259">
              <w:rPr>
                <w:rFonts w:asciiTheme="minorHAnsi" w:eastAsia="Times New Roman" w:hAnsiTheme="minorHAnsi" w:cs="Arial"/>
                <w:sz w:val="22"/>
                <w:szCs w:val="24"/>
              </w:rPr>
              <w:t>this application.</w:t>
            </w:r>
          </w:p>
        </w:tc>
        <w:tc>
          <w:tcPr>
            <w:tcW w:w="938" w:type="pct"/>
            <w:tcBorders>
              <w:top w:val="nil"/>
              <w:left w:val="nil"/>
              <w:bottom w:val="single" w:sz="4" w:space="0" w:color="auto"/>
              <w:right w:val="single" w:sz="4" w:space="0" w:color="auto"/>
            </w:tcBorders>
            <w:shd w:val="clear" w:color="000000" w:fill="808080"/>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8"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7" w:type="pct"/>
            <w:tcBorders>
              <w:top w:val="nil"/>
              <w:left w:val="nil"/>
              <w:bottom w:val="single" w:sz="4" w:space="0" w:color="auto"/>
              <w:right w:val="single" w:sz="4" w:space="0" w:color="auto"/>
            </w:tcBorders>
            <w:shd w:val="clear" w:color="auto" w:fill="auto"/>
            <w:vAlign w:val="center"/>
            <w:hideMark/>
          </w:tcPr>
          <w:p w:rsidR="005362B0" w:rsidRPr="00561259" w:rsidRDefault="005362B0" w:rsidP="00133DBF">
            <w:pPr>
              <w:jc w:val="center"/>
              <w:rPr>
                <w:rFonts w:asciiTheme="minorHAnsi" w:eastAsia="Times New Roman" w:hAnsiTheme="minorHAnsi" w:cs="Arial"/>
                <w:sz w:val="22"/>
                <w:szCs w:val="24"/>
              </w:rPr>
            </w:pPr>
          </w:p>
        </w:tc>
      </w:tr>
      <w:tr w:rsidR="005362B0" w:rsidRPr="00C54EB1" w:rsidTr="00133DBF">
        <w:trPr>
          <w:cantSplit/>
          <w:trHeight w:val="70"/>
        </w:trPr>
        <w:tc>
          <w:tcPr>
            <w:tcW w:w="239"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27</w:t>
            </w:r>
          </w:p>
        </w:tc>
        <w:tc>
          <w:tcPr>
            <w:tcW w:w="1948"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Joint panel recommendation for interim authority (approve or decline)</w:t>
            </w:r>
          </w:p>
        </w:tc>
        <w:tc>
          <w:tcPr>
            <w:tcW w:w="938" w:type="pct"/>
            <w:tcBorders>
              <w:top w:val="single" w:sz="4" w:space="0" w:color="auto"/>
              <w:left w:val="single" w:sz="4" w:space="0" w:color="auto"/>
              <w:bottom w:val="single" w:sz="4" w:space="0" w:color="auto"/>
              <w:right w:val="single" w:sz="4" w:space="0" w:color="auto"/>
            </w:tcBorders>
            <w:shd w:val="clear" w:color="000000" w:fill="808080"/>
            <w:vAlign w:val="center"/>
            <w:hideMark/>
          </w:tcPr>
          <w:p w:rsidR="005362B0" w:rsidRPr="00561259" w:rsidRDefault="005362B0" w:rsidP="00133DBF">
            <w:pPr>
              <w:jc w:val="center"/>
              <w:rPr>
                <w:rFonts w:asciiTheme="minorHAnsi" w:eastAsia="Times New Roman" w:hAnsiTheme="minorHAnsi" w:cs="Arial"/>
                <w:b/>
                <w:bCs/>
                <w:sz w:val="22"/>
                <w:szCs w:val="24"/>
              </w:rPr>
            </w:pPr>
          </w:p>
        </w:tc>
        <w:tc>
          <w:tcPr>
            <w:tcW w:w="938"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5362B0" w:rsidRPr="00561259" w:rsidRDefault="005362B0" w:rsidP="00133DBF">
            <w:pPr>
              <w:jc w:val="center"/>
              <w:rPr>
                <w:rFonts w:asciiTheme="minorHAnsi" w:eastAsia="Times New Roman" w:hAnsiTheme="minorHAnsi" w:cs="Arial"/>
                <w:sz w:val="22"/>
                <w:szCs w:val="24"/>
              </w:rPr>
            </w:pPr>
          </w:p>
        </w:tc>
        <w:tc>
          <w:tcPr>
            <w:tcW w:w="9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4"/>
              </w:rPr>
            </w:pPr>
          </w:p>
        </w:tc>
      </w:tr>
    </w:tbl>
    <w:p w:rsidR="005362B0" w:rsidRDefault="005362B0" w:rsidP="005362B0">
      <w:pPr>
        <w:pStyle w:val="BodyText"/>
        <w:spacing w:after="0"/>
        <w:rPr>
          <w:rFonts w:eastAsiaTheme="minorHAnsi" w:cstheme="minorBidi"/>
          <w:szCs w:val="22"/>
        </w:rPr>
      </w:pPr>
    </w:p>
    <w:p w:rsidR="005362B0" w:rsidRDefault="005362B0" w:rsidP="005362B0">
      <w:pPr>
        <w:pStyle w:val="BodyText"/>
        <w:spacing w:after="0"/>
        <w:rPr>
          <w:rFonts w:eastAsiaTheme="minorHAnsi" w:cstheme="minorBidi"/>
          <w:szCs w:val="22"/>
        </w:rPr>
      </w:pPr>
    </w:p>
    <w:p w:rsidR="005362B0" w:rsidRDefault="005362B0" w:rsidP="005362B0">
      <w:pPr>
        <w:pStyle w:val="BodyText"/>
        <w:spacing w:after="0"/>
        <w:rPr>
          <w:rFonts w:eastAsiaTheme="minorHAnsi" w:cstheme="minorBidi"/>
          <w:szCs w:val="22"/>
        </w:rPr>
      </w:pPr>
    </w:p>
    <w:p w:rsidR="005362B0" w:rsidRDefault="005362B0" w:rsidP="005362B0">
      <w:pPr>
        <w:pStyle w:val="BodyText"/>
        <w:spacing w:after="0"/>
        <w:rPr>
          <w:rFonts w:eastAsiaTheme="minorHAnsi" w:cstheme="minorBidi"/>
          <w:szCs w:val="22"/>
        </w:rPr>
      </w:pPr>
    </w:p>
    <w:tbl>
      <w:tblPr>
        <w:tblW w:w="5000" w:type="pct"/>
        <w:tblLook w:val="04A0" w:firstRow="1" w:lastRow="0" w:firstColumn="1" w:lastColumn="0" w:noHBand="0" w:noVBand="1"/>
      </w:tblPr>
      <w:tblGrid>
        <w:gridCol w:w="462"/>
        <w:gridCol w:w="3802"/>
        <w:gridCol w:w="1812"/>
        <w:gridCol w:w="1822"/>
        <w:gridCol w:w="1822"/>
      </w:tblGrid>
      <w:tr w:rsidR="005362B0" w:rsidRPr="00C54EB1" w:rsidTr="00133DBF">
        <w:trPr>
          <w:cantSplit/>
          <w:trHeight w:val="465"/>
        </w:trPr>
        <w:tc>
          <w:tcPr>
            <w:tcW w:w="5000" w:type="pct"/>
            <w:gridSpan w:val="5"/>
            <w:tcBorders>
              <w:top w:val="nil"/>
              <w:left w:val="nil"/>
              <w:bottom w:val="nil"/>
              <w:right w:val="nil"/>
            </w:tcBorders>
            <w:shd w:val="clear" w:color="000000" w:fill="C0C0C0"/>
            <w:hideMark/>
          </w:tcPr>
          <w:p w:rsidR="005362B0" w:rsidRPr="00561259" w:rsidRDefault="005362B0" w:rsidP="00133DBF">
            <w:pPr>
              <w:jc w:val="center"/>
              <w:rPr>
                <w:rFonts w:asciiTheme="minorHAnsi" w:eastAsia="Times New Roman" w:hAnsiTheme="minorHAnsi" w:cs="Arial"/>
                <w:b/>
                <w:bCs/>
                <w:sz w:val="22"/>
                <w:szCs w:val="36"/>
              </w:rPr>
            </w:pPr>
            <w:r w:rsidRPr="00561259">
              <w:rPr>
                <w:rFonts w:asciiTheme="minorHAnsi" w:eastAsia="Times New Roman" w:hAnsiTheme="minorHAnsi" w:cs="Arial"/>
                <w:b/>
                <w:bCs/>
                <w:sz w:val="22"/>
                <w:szCs w:val="36"/>
              </w:rPr>
              <w:t>Derivatives Application Qualitative Review (Final Approval)</w:t>
            </w:r>
          </w:p>
        </w:tc>
      </w:tr>
      <w:tr w:rsidR="005362B0" w:rsidRPr="00C54EB1" w:rsidTr="00133DBF">
        <w:trPr>
          <w:cantSplit/>
          <w:trHeight w:val="660"/>
        </w:trPr>
        <w:tc>
          <w:tcPr>
            <w:tcW w:w="238" w:type="pct"/>
            <w:tcBorders>
              <w:top w:val="nil"/>
              <w:left w:val="nil"/>
              <w:bottom w:val="nil"/>
              <w:right w:val="nil"/>
            </w:tcBorders>
            <w:shd w:val="clear" w:color="000000" w:fill="F2F2F2"/>
            <w:hideMark/>
          </w:tcPr>
          <w:p w:rsidR="005362B0" w:rsidRPr="00561259" w:rsidRDefault="005362B0" w:rsidP="00133DBF">
            <w:pPr>
              <w:rPr>
                <w:rFonts w:asciiTheme="minorHAnsi" w:eastAsia="Times New Roman" w:hAnsiTheme="minorHAnsi" w:cs="Arial"/>
                <w:sz w:val="22"/>
                <w:szCs w:val="20"/>
              </w:rPr>
            </w:pPr>
            <w:r w:rsidRPr="00561259">
              <w:rPr>
                <w:rFonts w:asciiTheme="minorHAnsi" w:eastAsia="Times New Roman" w:hAnsiTheme="minorHAnsi" w:cs="Arial"/>
                <w:sz w:val="22"/>
                <w:szCs w:val="20"/>
              </w:rPr>
              <w:t> </w:t>
            </w:r>
          </w:p>
        </w:tc>
        <w:tc>
          <w:tcPr>
            <w:tcW w:w="4762" w:type="pct"/>
            <w:gridSpan w:val="4"/>
            <w:tcBorders>
              <w:top w:val="nil"/>
              <w:left w:val="nil"/>
              <w:bottom w:val="nil"/>
              <w:right w:val="nil"/>
            </w:tcBorders>
            <w:shd w:val="clear" w:color="000000" w:fill="F2F2F2"/>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As part of the initial application process, after regions have determined completeness of the package submitted, a secondary review is to be done from a qualitative perspective.  All members of the panel (Field staff, Field CMS, and </w:t>
            </w:r>
            <w:proofErr w:type="spellStart"/>
            <w:r w:rsidRPr="00561259">
              <w:rPr>
                <w:rFonts w:asciiTheme="minorHAnsi" w:eastAsia="Times New Roman" w:hAnsiTheme="minorHAnsi" w:cs="Arial"/>
                <w:sz w:val="22"/>
                <w:szCs w:val="24"/>
              </w:rPr>
              <w:t>SCMS</w:t>
            </w:r>
            <w:proofErr w:type="spellEnd"/>
            <w:r w:rsidRPr="00561259">
              <w:rPr>
                <w:rFonts w:asciiTheme="minorHAnsi" w:eastAsia="Times New Roman" w:hAnsiTheme="minorHAnsi" w:cs="Arial"/>
                <w:sz w:val="22"/>
                <w:szCs w:val="24"/>
              </w:rPr>
              <w:t>) will complete their respective comment boxes to provide support for their overall assessment.</w:t>
            </w:r>
          </w:p>
        </w:tc>
      </w:tr>
      <w:tr w:rsidR="005362B0" w:rsidRPr="00C54EB1" w:rsidTr="00133DBF">
        <w:trPr>
          <w:cantSplit/>
          <w:trHeight w:val="405"/>
        </w:trPr>
        <w:tc>
          <w:tcPr>
            <w:tcW w:w="5000" w:type="pct"/>
            <w:gridSpan w:val="5"/>
            <w:tcBorders>
              <w:top w:val="nil"/>
              <w:left w:val="nil"/>
              <w:bottom w:val="nil"/>
              <w:right w:val="nil"/>
            </w:tcBorders>
            <w:shd w:val="clear" w:color="000000" w:fill="DA9694"/>
            <w:vAlign w:val="center"/>
            <w:hideMark/>
          </w:tcPr>
          <w:p w:rsidR="005362B0" w:rsidRPr="00561259" w:rsidRDefault="005362B0" w:rsidP="00133DBF">
            <w:pPr>
              <w:jc w:val="center"/>
              <w:rPr>
                <w:rFonts w:asciiTheme="minorHAnsi" w:eastAsia="Times New Roman" w:hAnsiTheme="minorHAnsi" w:cs="Arial"/>
                <w:b/>
                <w:bCs/>
                <w:sz w:val="22"/>
                <w:szCs w:val="32"/>
              </w:rPr>
            </w:pPr>
            <w:r w:rsidRPr="00561259">
              <w:rPr>
                <w:rFonts w:asciiTheme="minorHAnsi" w:eastAsia="Times New Roman" w:hAnsiTheme="minorHAnsi" w:cs="Arial"/>
                <w:b/>
                <w:bCs/>
                <w:sz w:val="22"/>
                <w:szCs w:val="32"/>
              </w:rPr>
              <w:t>Final Application Review</w:t>
            </w:r>
          </w:p>
        </w:tc>
      </w:tr>
      <w:tr w:rsidR="005362B0" w:rsidRPr="00C54EB1" w:rsidTr="00133DBF">
        <w:trPr>
          <w:cantSplit/>
          <w:trHeight w:val="552"/>
        </w:trPr>
        <w:tc>
          <w:tcPr>
            <w:tcW w:w="238" w:type="pct"/>
            <w:tcBorders>
              <w:top w:val="nil"/>
              <w:left w:val="nil"/>
              <w:bottom w:val="nil"/>
              <w:right w:val="nil"/>
            </w:tcBorders>
            <w:shd w:val="clear" w:color="auto" w:fill="auto"/>
            <w:noWrap/>
            <w:vAlign w:val="bottom"/>
            <w:hideMark/>
          </w:tcPr>
          <w:p w:rsidR="005362B0" w:rsidRPr="00561259" w:rsidRDefault="005362B0" w:rsidP="00133DBF">
            <w:pPr>
              <w:jc w:val="center"/>
              <w:rPr>
                <w:rFonts w:asciiTheme="minorHAnsi" w:eastAsia="Times New Roman" w:hAnsiTheme="minorHAnsi" w:cs="Arial"/>
                <w:sz w:val="22"/>
                <w:szCs w:val="20"/>
              </w:rPr>
            </w:pPr>
          </w:p>
        </w:tc>
        <w:tc>
          <w:tcPr>
            <w:tcW w:w="1956"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4"/>
              </w:rPr>
            </w:pPr>
          </w:p>
        </w:tc>
        <w:tc>
          <w:tcPr>
            <w:tcW w:w="932" w:type="pct"/>
            <w:tcBorders>
              <w:top w:val="single" w:sz="4" w:space="0" w:color="auto"/>
              <w:left w:val="single" w:sz="4" w:space="0" w:color="auto"/>
              <w:bottom w:val="nil"/>
              <w:right w:val="single" w:sz="4" w:space="0" w:color="auto"/>
            </w:tcBorders>
            <w:shd w:val="clear" w:color="000000" w:fill="F2F2F2"/>
            <w:vAlign w:val="center"/>
            <w:hideMark/>
          </w:tcPr>
          <w:p w:rsidR="005362B0" w:rsidRPr="00561259" w:rsidRDefault="005362B0" w:rsidP="00133DBF">
            <w:pPr>
              <w:spacing w:before="100" w:beforeAutospacing="1" w:afterAutospacing="1"/>
              <w:jc w:val="cente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Field Staff Comments</w:t>
            </w:r>
          </w:p>
        </w:tc>
        <w:tc>
          <w:tcPr>
            <w:tcW w:w="937" w:type="pct"/>
            <w:tcBorders>
              <w:top w:val="single" w:sz="4" w:space="0" w:color="auto"/>
              <w:left w:val="nil"/>
              <w:bottom w:val="nil"/>
              <w:right w:val="single" w:sz="4" w:space="0" w:color="auto"/>
            </w:tcBorders>
            <w:shd w:val="clear" w:color="000000" w:fill="F2F2F2"/>
            <w:vAlign w:val="center"/>
            <w:hideMark/>
          </w:tcPr>
          <w:p w:rsidR="005362B0" w:rsidRPr="00561259" w:rsidRDefault="005362B0" w:rsidP="00133DBF">
            <w:pPr>
              <w:jc w:val="cente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Field CMS Comments</w:t>
            </w:r>
          </w:p>
        </w:tc>
        <w:tc>
          <w:tcPr>
            <w:tcW w:w="937" w:type="pct"/>
            <w:tcBorders>
              <w:top w:val="single" w:sz="4" w:space="0" w:color="auto"/>
              <w:left w:val="nil"/>
              <w:bottom w:val="nil"/>
              <w:right w:val="single" w:sz="4" w:space="0" w:color="auto"/>
            </w:tcBorders>
            <w:shd w:val="clear" w:color="000000" w:fill="F2F2F2"/>
            <w:vAlign w:val="center"/>
            <w:hideMark/>
          </w:tcPr>
          <w:p w:rsidR="005362B0" w:rsidRPr="00561259" w:rsidRDefault="005362B0" w:rsidP="00133DBF">
            <w:pPr>
              <w:jc w:val="center"/>
              <w:rPr>
                <w:rFonts w:asciiTheme="minorHAnsi" w:eastAsia="Times New Roman" w:hAnsiTheme="minorHAnsi" w:cs="Arial"/>
                <w:b/>
                <w:bCs/>
                <w:sz w:val="22"/>
                <w:szCs w:val="24"/>
              </w:rPr>
            </w:pPr>
            <w:proofErr w:type="spellStart"/>
            <w:r w:rsidRPr="00561259">
              <w:rPr>
                <w:rFonts w:asciiTheme="minorHAnsi" w:eastAsia="Times New Roman" w:hAnsiTheme="minorHAnsi" w:cs="Arial"/>
                <w:b/>
                <w:bCs/>
                <w:sz w:val="22"/>
                <w:szCs w:val="24"/>
              </w:rPr>
              <w:t>SCMS</w:t>
            </w:r>
            <w:proofErr w:type="spellEnd"/>
          </w:p>
          <w:p w:rsidR="005362B0" w:rsidRPr="00561259" w:rsidRDefault="005362B0" w:rsidP="00133DBF">
            <w:pPr>
              <w:jc w:val="cente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xml:space="preserve">Comments </w:t>
            </w:r>
          </w:p>
        </w:tc>
      </w:tr>
      <w:tr w:rsidR="005362B0" w:rsidRPr="00C54EB1" w:rsidTr="00133DBF">
        <w:trPr>
          <w:cantSplit/>
          <w:trHeight w:val="1335"/>
        </w:trPr>
        <w:tc>
          <w:tcPr>
            <w:tcW w:w="238" w:type="pct"/>
            <w:tcBorders>
              <w:top w:val="nil"/>
              <w:left w:val="nil"/>
              <w:bottom w:val="nil"/>
              <w:right w:val="nil"/>
            </w:tcBorders>
            <w:shd w:val="clear" w:color="auto" w:fill="auto"/>
            <w:noWrap/>
            <w:vAlign w:val="bottom"/>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w:t>
            </w: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b/>
                <w:bCs/>
                <w:sz w:val="22"/>
                <w:szCs w:val="24"/>
              </w:rPr>
              <w:t>Safety and Soundness (Field Staff Only</w:t>
            </w:r>
            <w:proofErr w:type="gramStart"/>
            <w:r w:rsidRPr="00561259">
              <w:rPr>
                <w:rFonts w:asciiTheme="minorHAnsi" w:eastAsia="Times New Roman" w:hAnsiTheme="minorHAnsi" w:cs="Arial"/>
                <w:b/>
                <w:bCs/>
                <w:sz w:val="22"/>
                <w:szCs w:val="24"/>
              </w:rPr>
              <w:t>)</w:t>
            </w:r>
            <w:proofErr w:type="gramEnd"/>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A credit union that plans to engage in derivatives activity is expected to be operated in a safe and sound manner.  A preliminary review of the credit union's examination and supervision history and an evaluation of the status of any outstanding material supervisory concerns are essential to determining whether a credit union should be granted derivatives authority.</w:t>
            </w:r>
          </w:p>
        </w:tc>
      </w:tr>
      <w:tr w:rsidR="005362B0" w:rsidRPr="00C54EB1" w:rsidTr="00133DBF">
        <w:trPr>
          <w:cantSplit/>
          <w:trHeight w:val="251"/>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Does the credit union's asset size and CAMEL code still meet the minimum qualifications to apply for derivative authority?</w:t>
            </w:r>
          </w:p>
        </w:tc>
        <w:tc>
          <w:tcPr>
            <w:tcW w:w="932"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584"/>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2</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xml:space="preserve">If a new call report cycle has closed since the interim approval, review the </w:t>
            </w:r>
            <w:proofErr w:type="spellStart"/>
            <w:r w:rsidRPr="00561259">
              <w:rPr>
                <w:rFonts w:asciiTheme="minorHAnsi" w:eastAsia="Times New Roman" w:hAnsiTheme="minorHAnsi" w:cs="Arial"/>
                <w:sz w:val="22"/>
                <w:szCs w:val="24"/>
              </w:rPr>
              <w:t>FPR</w:t>
            </w:r>
            <w:proofErr w:type="spellEnd"/>
            <w:r w:rsidRPr="00561259">
              <w:rPr>
                <w:rFonts w:asciiTheme="minorHAnsi" w:eastAsia="Times New Roman" w:hAnsiTheme="minorHAnsi" w:cs="Arial"/>
                <w:sz w:val="22"/>
                <w:szCs w:val="24"/>
              </w:rPr>
              <w:t>.  Discuss any changes to financial condition or trends since interim approval, if applicable.</w:t>
            </w:r>
          </w:p>
        </w:tc>
        <w:tc>
          <w:tcPr>
            <w:tcW w:w="932"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476"/>
        </w:trPr>
        <w:tc>
          <w:tcPr>
            <w:tcW w:w="238" w:type="pct"/>
            <w:tcBorders>
              <w:top w:val="nil"/>
              <w:left w:val="nil"/>
              <w:bottom w:val="nil"/>
              <w:right w:val="single" w:sz="4" w:space="0" w:color="auto"/>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lastRenderedPageBreak/>
              <w:t>3</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If a supervision or examination report has been uploaded since the interim review, evaluate if any changes were identified or material issues have emerged, if applicable.</w:t>
            </w:r>
          </w:p>
        </w:tc>
        <w:tc>
          <w:tcPr>
            <w:tcW w:w="932"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188"/>
        </w:trPr>
        <w:tc>
          <w:tcPr>
            <w:tcW w:w="238" w:type="pct"/>
            <w:tcBorders>
              <w:top w:val="nil"/>
              <w:left w:val="nil"/>
              <w:bottom w:val="nil"/>
              <w:right w:val="single" w:sz="4" w:space="0" w:color="auto"/>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4</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If a new Quality Control Review, Supervisory Evaluation Form, or RATE has been approved since the interim approval, review and comment on any material issues, if applicable.</w:t>
            </w:r>
          </w:p>
        </w:tc>
        <w:tc>
          <w:tcPr>
            <w:tcW w:w="932" w:type="pct"/>
            <w:tcBorders>
              <w:top w:val="single" w:sz="4" w:space="0" w:color="auto"/>
              <w:left w:val="single" w:sz="4" w:space="0" w:color="auto"/>
              <w:bottom w:val="single" w:sz="4" w:space="0" w:color="auto"/>
              <w:right w:val="single" w:sz="4" w:space="0" w:color="auto"/>
            </w:tcBorders>
            <w:shd w:val="clear" w:color="auto" w:fill="auto"/>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561259" w:rsidRDefault="005362B0" w:rsidP="00133DBF">
            <w:pPr>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1950"/>
        </w:trPr>
        <w:tc>
          <w:tcPr>
            <w:tcW w:w="238" w:type="pct"/>
            <w:tcBorders>
              <w:top w:val="nil"/>
              <w:left w:val="nil"/>
              <w:bottom w:val="nil"/>
              <w:right w:val="nil"/>
            </w:tcBorders>
            <w:shd w:val="clear" w:color="auto" w:fill="auto"/>
            <w:noWrap/>
            <w:vAlign w:val="bottom"/>
            <w:hideMark/>
          </w:tcPr>
          <w:p w:rsidR="005362B0" w:rsidRPr="00561259" w:rsidRDefault="005362B0" w:rsidP="00133DBF">
            <w:pPr>
              <w:rPr>
                <w:rFonts w:asciiTheme="minorHAnsi" w:eastAsia="Times New Roman" w:hAnsiTheme="minorHAnsi" w:cs="Arial"/>
                <w:sz w:val="22"/>
                <w:szCs w:val="20"/>
              </w:rPr>
            </w:pP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b/>
                <w:bCs/>
                <w:sz w:val="22"/>
                <w:szCs w:val="24"/>
              </w:rPr>
              <w:t>Derivative Transaction and Limit Compliance</w:t>
            </w:r>
            <w:r w:rsidRPr="00561259">
              <w:rPr>
                <w:rFonts w:asciiTheme="minorHAnsi" w:eastAsia="Times New Roman" w:hAnsiTheme="minorHAnsi" w:cs="Arial"/>
                <w:b/>
                <w:bCs/>
                <w:sz w:val="22"/>
                <w:szCs w:val="24"/>
              </w:rPr>
              <w:br/>
            </w:r>
            <w:r w:rsidRPr="00561259">
              <w:rPr>
                <w:rFonts w:asciiTheme="minorHAnsi" w:eastAsia="Times New Roman" w:hAnsiTheme="minorHAnsi" w:cs="Arial"/>
                <w:sz w:val="22"/>
                <w:szCs w:val="24"/>
              </w:rPr>
              <w:t>Understanding what products and hedging strategies to be implemented by the credit union is a critical part of the application.  The credit union must demonstrate what products and characteristics are being used in the application. Product descriptions should be clear and referenced to the permissible derivatives subsection of the rule 703.102. The application should articulate what the hedging strategy will be in mitigating interest rate risks and how they will measure and monitor the positions against the prescribed limits.</w:t>
            </w:r>
            <w:r w:rsidRPr="00561259">
              <w:rPr>
                <w:rFonts w:asciiTheme="minorHAnsi" w:eastAsia="Times New Roman" w:hAnsiTheme="minorHAnsi" w:cs="Arial"/>
                <w:b/>
                <w:bCs/>
                <w:sz w:val="22"/>
                <w:szCs w:val="24"/>
              </w:rPr>
              <w:t xml:space="preserve"> For the final review assessment, the credit union must include a document of policies and procedures to support the limits monitoring.</w:t>
            </w:r>
          </w:p>
        </w:tc>
      </w:tr>
      <w:tr w:rsidR="005362B0" w:rsidRPr="00C54EB1" w:rsidTr="00133DBF">
        <w:trPr>
          <w:cantSplit/>
          <w:trHeight w:val="251"/>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5</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Products (§703.102</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If following up on an interim approval, product strategy is consistent and use strategy is very clear on how credit union will use products.</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rPr>
                <w:rFonts w:asciiTheme="minorHAnsi" w:eastAsia="Times New Roman" w:hAnsiTheme="minorHAnsi" w:cs="Arial"/>
                <w:b/>
                <w:bCs/>
                <w:sz w:val="22"/>
                <w:szCs w:val="24"/>
              </w:rPr>
            </w:pP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6</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Products (§703.102</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demonstrates the benefit and goal of using each product and what interest rate hedging objectives are being met.</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r>
      <w:tr w:rsidR="005362B0" w:rsidRPr="00C54EB1" w:rsidTr="00133DBF">
        <w:trPr>
          <w:cantSplit/>
          <w:trHeight w:val="386"/>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7</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Transaction Characteristics (§703.102</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Requests for product characteristics are consistent with application for interim approval, if applicable.</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28"/>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8</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Transaction Characteristics (§703.102</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Application demonstrates the benefit and goal of using each characteristic and what interest rate hedging objectives are being met.</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368"/>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9</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Limits Authority (§703.103</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Credit union acknowledges the rule limits, the calculations as per the rule, and identifies what processes and reporting have been developed to monitor the limits.</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188"/>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t>10</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Limits Authority (§703.103</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i/>
                <w:iCs/>
                <w:sz w:val="22"/>
                <w:szCs w:val="24"/>
              </w:rPr>
              <w:br/>
            </w:r>
            <w:r w:rsidRPr="00561259">
              <w:rPr>
                <w:rFonts w:asciiTheme="minorHAnsi" w:eastAsia="Times New Roman" w:hAnsiTheme="minorHAnsi" w:cs="Arial"/>
                <w:sz w:val="22"/>
                <w:szCs w:val="24"/>
              </w:rPr>
              <w:t>Credit union has provided report prototypes that demonstrate how it will monitor limits.</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971"/>
        </w:trPr>
        <w:tc>
          <w:tcPr>
            <w:tcW w:w="238" w:type="pct"/>
            <w:tcBorders>
              <w:top w:val="nil"/>
              <w:left w:val="nil"/>
              <w:bottom w:val="nil"/>
              <w:right w:val="nil"/>
            </w:tcBorders>
            <w:shd w:val="clear" w:color="auto" w:fill="auto"/>
            <w:noWrap/>
            <w:vAlign w:val="center"/>
            <w:hideMark/>
          </w:tcPr>
          <w:p w:rsidR="005362B0" w:rsidRPr="00561259" w:rsidRDefault="005362B0" w:rsidP="00133DBF">
            <w:pPr>
              <w:jc w:val="center"/>
              <w:rPr>
                <w:rFonts w:asciiTheme="minorHAnsi" w:eastAsia="Times New Roman" w:hAnsiTheme="minorHAnsi" w:cs="Arial"/>
                <w:sz w:val="22"/>
                <w:szCs w:val="20"/>
              </w:rPr>
            </w:pPr>
            <w:r w:rsidRPr="00561259">
              <w:rPr>
                <w:rFonts w:asciiTheme="minorHAnsi" w:eastAsia="Times New Roman" w:hAnsiTheme="minorHAnsi" w:cs="Arial"/>
                <w:sz w:val="22"/>
                <w:szCs w:val="20"/>
              </w:rPr>
              <w:lastRenderedPageBreak/>
              <w:t>11</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i/>
                <w:iCs/>
                <w:sz w:val="22"/>
                <w:szCs w:val="24"/>
              </w:rPr>
              <w:t>Limits Authority (§703.103</w:t>
            </w:r>
            <w:proofErr w:type="gramStart"/>
            <w:r w:rsidRPr="00561259">
              <w:rPr>
                <w:rFonts w:asciiTheme="minorHAnsi" w:eastAsia="Times New Roman" w:hAnsiTheme="minorHAnsi" w:cs="Arial"/>
                <w:i/>
                <w:iCs/>
                <w:sz w:val="22"/>
                <w:szCs w:val="24"/>
              </w:rPr>
              <w:t>)</w:t>
            </w:r>
            <w:proofErr w:type="gramEnd"/>
            <w:r w:rsidRPr="00561259">
              <w:rPr>
                <w:rFonts w:asciiTheme="minorHAnsi" w:eastAsia="Times New Roman" w:hAnsiTheme="minorHAnsi" w:cs="Arial"/>
                <w:sz w:val="22"/>
                <w:szCs w:val="24"/>
              </w:rPr>
              <w:br/>
              <w:t>Credit union has provided procedures which will ensure that valuations and positions are reconciled with the counterpart, and that the fair value limit is consistent with this.</w:t>
            </w:r>
          </w:p>
        </w:tc>
        <w:tc>
          <w:tcPr>
            <w:tcW w:w="932" w:type="pct"/>
            <w:tcBorders>
              <w:top w:val="nil"/>
              <w:left w:val="nil"/>
              <w:bottom w:val="single" w:sz="4" w:space="0" w:color="auto"/>
              <w:right w:val="single" w:sz="4" w:space="0" w:color="auto"/>
            </w:tcBorders>
            <w:shd w:val="clear" w:color="000000" w:fill="808080"/>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b/>
                <w:bCs/>
                <w:sz w:val="22"/>
                <w:szCs w:val="24"/>
              </w:rPr>
            </w:pPr>
            <w:r w:rsidRPr="00561259">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561259" w:rsidRDefault="005362B0" w:rsidP="00133DBF">
            <w:pPr>
              <w:spacing w:before="100" w:beforeAutospacing="1" w:afterAutospacing="1"/>
              <w:rPr>
                <w:rFonts w:asciiTheme="minorHAnsi" w:eastAsia="Times New Roman" w:hAnsiTheme="minorHAnsi" w:cs="Arial"/>
                <w:sz w:val="22"/>
                <w:szCs w:val="24"/>
              </w:rPr>
            </w:pPr>
            <w:r w:rsidRPr="00561259">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right"/>
              <w:rPr>
                <w:rFonts w:asciiTheme="minorHAnsi" w:eastAsia="Times New Roman" w:hAnsiTheme="minorHAnsi" w:cs="Arial"/>
                <w:sz w:val="22"/>
                <w:szCs w:val="20"/>
              </w:rPr>
            </w:pPr>
            <w:r w:rsidRPr="00452E4D">
              <w:rPr>
                <w:rFonts w:asciiTheme="minorHAnsi" w:eastAsia="Times New Roman" w:hAnsiTheme="minorHAnsi" w:cs="Arial"/>
                <w:sz w:val="22"/>
                <w:szCs w:val="20"/>
              </w:rPr>
              <w:t>12</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Limits Authority (§703.103)</w:t>
            </w:r>
          </w:p>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sz w:val="22"/>
                <w:szCs w:val="24"/>
              </w:rPr>
              <w:t xml:space="preserve">Determine whether program qualifies for </w:t>
            </w:r>
            <w:r w:rsidRPr="00452E4D">
              <w:rPr>
                <w:rFonts w:asciiTheme="minorHAnsi" w:eastAsia="Times New Roman" w:hAnsiTheme="minorHAnsi" w:cs="Arial"/>
                <w:i/>
                <w:iCs/>
                <w:sz w:val="22"/>
                <w:szCs w:val="24"/>
              </w:rPr>
              <w:t>entry</w:t>
            </w:r>
            <w:r w:rsidRPr="00452E4D">
              <w:rPr>
                <w:rFonts w:asciiTheme="minorHAnsi" w:eastAsia="Times New Roman" w:hAnsiTheme="minorHAnsi" w:cs="Arial"/>
                <w:sz w:val="22"/>
                <w:szCs w:val="24"/>
              </w:rPr>
              <w:t xml:space="preserve"> or </w:t>
            </w:r>
            <w:r w:rsidRPr="00452E4D">
              <w:rPr>
                <w:rFonts w:asciiTheme="minorHAnsi" w:eastAsia="Times New Roman" w:hAnsiTheme="minorHAnsi" w:cs="Arial"/>
                <w:i/>
                <w:iCs/>
                <w:sz w:val="22"/>
                <w:szCs w:val="24"/>
              </w:rPr>
              <w:t>standard</w:t>
            </w:r>
            <w:r w:rsidRPr="00452E4D">
              <w:rPr>
                <w:rFonts w:asciiTheme="minorHAnsi" w:eastAsia="Times New Roman" w:hAnsiTheme="minorHAnsi" w:cs="Arial"/>
                <w:sz w:val="22"/>
                <w:szCs w:val="24"/>
              </w:rPr>
              <w:t xml:space="preserve"> limits using the rule requirements.</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vAlign w:val="bottom"/>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2220"/>
        </w:trPr>
        <w:tc>
          <w:tcPr>
            <w:tcW w:w="238" w:type="pct"/>
            <w:tcBorders>
              <w:top w:val="nil"/>
              <w:left w:val="nil"/>
              <w:bottom w:val="nil"/>
              <w:right w:val="nil"/>
            </w:tcBorders>
            <w:shd w:val="clear" w:color="auto" w:fill="auto"/>
            <w:noWrap/>
            <w:vAlign w:val="bottom"/>
            <w:hideMark/>
          </w:tcPr>
          <w:p w:rsidR="005362B0" w:rsidRPr="00452E4D" w:rsidRDefault="005362B0" w:rsidP="00133DBF">
            <w:pPr>
              <w:rPr>
                <w:rFonts w:asciiTheme="minorHAnsi" w:eastAsia="Times New Roman" w:hAnsiTheme="minorHAnsi" w:cs="Arial"/>
                <w:sz w:val="22"/>
                <w:szCs w:val="20"/>
              </w:rPr>
            </w:pP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b/>
                <w:bCs/>
                <w:sz w:val="22"/>
                <w:szCs w:val="24"/>
              </w:rPr>
              <w:t>External Service Providers (including trade counterparties</w:t>
            </w:r>
            <w:proofErr w:type="gramStart"/>
            <w:r w:rsidRPr="00452E4D">
              <w:rPr>
                <w:rFonts w:asciiTheme="minorHAnsi" w:eastAsia="Times New Roman" w:hAnsiTheme="minorHAnsi" w:cs="Arial"/>
                <w:b/>
                <w:bCs/>
                <w:sz w:val="22"/>
                <w:szCs w:val="24"/>
              </w:rPr>
              <w:t>)</w:t>
            </w:r>
            <w:proofErr w:type="gramEnd"/>
            <w:r w:rsidRPr="00452E4D">
              <w:rPr>
                <w:rFonts w:asciiTheme="minorHAnsi" w:eastAsia="Times New Roman" w:hAnsiTheme="minorHAnsi" w:cs="Arial"/>
                <w:b/>
                <w:bCs/>
                <w:sz w:val="22"/>
                <w:szCs w:val="24"/>
              </w:rPr>
              <w:br/>
            </w:r>
            <w:r w:rsidRPr="00452E4D">
              <w:rPr>
                <w:rFonts w:asciiTheme="minorHAnsi" w:eastAsia="Times New Roman" w:hAnsiTheme="minorHAnsi" w:cs="Arial"/>
                <w:sz w:val="22"/>
                <w:szCs w:val="24"/>
              </w:rPr>
              <w:t xml:space="preserve">External Service Providers (ESPs), including transaction counterparties, are a critical component of operating a derivatives program.  For transactions; the execution of transactions, the servicing of margin calls, the custodial duties of managing collateral, and in most cases providing current valuations of the transactions.  For </w:t>
            </w:r>
            <w:r w:rsidRPr="00452E4D">
              <w:rPr>
                <w:rFonts w:asciiTheme="minorHAnsi" w:eastAsia="Times New Roman" w:hAnsiTheme="minorHAnsi" w:cs="Arial"/>
                <w:i/>
                <w:iCs/>
                <w:sz w:val="22"/>
                <w:szCs w:val="24"/>
              </w:rPr>
              <w:t>operational support functions</w:t>
            </w:r>
            <w:r w:rsidRPr="00452E4D">
              <w:rPr>
                <w:rFonts w:asciiTheme="minorHAnsi" w:eastAsia="Times New Roman" w:hAnsiTheme="minorHAnsi" w:cs="Arial"/>
                <w:sz w:val="22"/>
                <w:szCs w:val="24"/>
              </w:rPr>
              <w:t xml:space="preserve">, ESPs are a source of generic </w:t>
            </w:r>
            <w:proofErr w:type="spellStart"/>
            <w:r w:rsidRPr="00452E4D">
              <w:rPr>
                <w:rFonts w:asciiTheme="minorHAnsi" w:eastAsia="Times New Roman" w:hAnsiTheme="minorHAnsi" w:cs="Arial"/>
                <w:sz w:val="22"/>
                <w:szCs w:val="24"/>
              </w:rPr>
              <w:t>ALM</w:t>
            </w:r>
            <w:proofErr w:type="spellEnd"/>
            <w:r w:rsidRPr="00452E4D">
              <w:rPr>
                <w:rFonts w:asciiTheme="minorHAnsi" w:eastAsia="Times New Roman" w:hAnsiTheme="minorHAnsi" w:cs="Arial"/>
                <w:sz w:val="22"/>
                <w:szCs w:val="24"/>
              </w:rPr>
              <w:t xml:space="preserve"> functions used at many credit unions.  For </w:t>
            </w:r>
            <w:r w:rsidRPr="00452E4D">
              <w:rPr>
                <w:rFonts w:asciiTheme="minorHAnsi" w:eastAsia="Times New Roman" w:hAnsiTheme="minorHAnsi" w:cs="Arial"/>
                <w:i/>
                <w:iCs/>
                <w:sz w:val="22"/>
                <w:szCs w:val="24"/>
              </w:rPr>
              <w:t xml:space="preserve">transactions, </w:t>
            </w:r>
            <w:r w:rsidRPr="00452E4D">
              <w:rPr>
                <w:rFonts w:asciiTheme="minorHAnsi" w:eastAsia="Times New Roman" w:hAnsiTheme="minorHAnsi" w:cs="Arial"/>
                <w:sz w:val="22"/>
                <w:szCs w:val="24"/>
              </w:rPr>
              <w:t xml:space="preserve">the type of agreement needed will vary based on the products the credit union has applied for and whether the credit union will use exchanges or use bilateral agreements will determine. For each product, the application should indicate the credit union's approach is and how it plans on supporting the agreement.  For </w:t>
            </w:r>
            <w:r w:rsidRPr="00452E4D">
              <w:rPr>
                <w:rFonts w:asciiTheme="minorHAnsi" w:eastAsia="Times New Roman" w:hAnsiTheme="minorHAnsi" w:cs="Arial"/>
                <w:i/>
                <w:iCs/>
                <w:sz w:val="22"/>
                <w:szCs w:val="24"/>
              </w:rPr>
              <w:t>support functions</w:t>
            </w:r>
            <w:r w:rsidRPr="00452E4D">
              <w:rPr>
                <w:rFonts w:asciiTheme="minorHAnsi" w:eastAsia="Times New Roman" w:hAnsiTheme="minorHAnsi" w:cs="Arial"/>
                <w:sz w:val="22"/>
                <w:szCs w:val="24"/>
              </w:rPr>
              <w:t xml:space="preserve">, the application should be clear on what functions will be supported by an ESP, how each function will integrate back into the credit unions’ operations, and how the credit union will control this process. </w:t>
            </w:r>
            <w:r w:rsidRPr="00452E4D">
              <w:rPr>
                <w:rFonts w:asciiTheme="minorHAnsi" w:eastAsia="Times New Roman" w:hAnsiTheme="minorHAnsi" w:cs="Arial"/>
                <w:b/>
                <w:bCs/>
                <w:sz w:val="22"/>
                <w:szCs w:val="24"/>
              </w:rPr>
              <w:t>Policies and procedures must be included for the final review assessment.</w:t>
            </w:r>
          </w:p>
        </w:tc>
      </w:tr>
      <w:tr w:rsidR="005362B0" w:rsidRPr="00C54EB1" w:rsidTr="00133DBF">
        <w:trPr>
          <w:cantSplit/>
          <w:trHeight w:val="179"/>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13</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i/>
                <w:iCs/>
                <w:sz w:val="22"/>
                <w:szCs w:val="24"/>
              </w:rPr>
            </w:pPr>
            <w:r w:rsidRPr="00452E4D">
              <w:rPr>
                <w:rFonts w:asciiTheme="minorHAnsi" w:eastAsia="Times New Roman" w:hAnsiTheme="minorHAnsi" w:cs="Arial"/>
                <w:i/>
                <w:iCs/>
                <w:sz w:val="22"/>
                <w:szCs w:val="24"/>
              </w:rPr>
              <w:t>Trade Counterparties (§703.104)</w:t>
            </w:r>
            <w:r w:rsidRPr="00452E4D">
              <w:rPr>
                <w:rFonts w:asciiTheme="minorHAnsi" w:eastAsia="Times New Roman" w:hAnsiTheme="minorHAnsi" w:cs="Arial"/>
                <w:i/>
                <w:iCs/>
                <w:sz w:val="22"/>
                <w:szCs w:val="24"/>
              </w:rPr>
              <w:br w:type="page"/>
            </w:r>
          </w:p>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sz w:val="22"/>
                <w:szCs w:val="24"/>
              </w:rPr>
              <w:t xml:space="preserve">Application details what counterparties the credit union will use to execute transactions. </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1529"/>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14</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Trade Counterparties (§703.104)</w:t>
            </w:r>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Application details what swap dealer, futures commission merchants (</w:t>
            </w:r>
            <w:proofErr w:type="spellStart"/>
            <w:r w:rsidRPr="00452E4D">
              <w:rPr>
                <w:rFonts w:asciiTheme="minorHAnsi" w:eastAsia="Times New Roman" w:hAnsiTheme="minorHAnsi" w:cs="Arial"/>
                <w:sz w:val="22"/>
                <w:szCs w:val="24"/>
              </w:rPr>
              <w:t>FCM</w:t>
            </w:r>
            <w:proofErr w:type="spellEnd"/>
            <w:r w:rsidRPr="00452E4D">
              <w:rPr>
                <w:rFonts w:asciiTheme="minorHAnsi" w:eastAsia="Times New Roman" w:hAnsiTheme="minorHAnsi" w:cs="Arial"/>
                <w:sz w:val="22"/>
                <w:szCs w:val="24"/>
              </w:rPr>
              <w:t>), or introducing brokers have been contracted and whether they are clearing or using a bilateral agreement.  Contract discloses that only certain contracts can be done, consistent with the application of products.</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15</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Collateral and Margining (§703.104</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Assess the qualifications of the staff that will be supporting this function.</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16</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Collateral and Margining (§703.104</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Guidelines in the counterparty agreement(s) detail the eligible collateral and margining requirements are compliant with the rule.</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386"/>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17</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Collateral and Margining (§703.104</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Evidence that the credit union has the systems, procedures and trigger notifications to support margin calls.</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539"/>
        </w:trPr>
        <w:tc>
          <w:tcPr>
            <w:tcW w:w="238" w:type="pct"/>
            <w:tcBorders>
              <w:top w:val="nil"/>
              <w:left w:val="nil"/>
              <w:bottom w:val="nil"/>
              <w:right w:val="single" w:sz="4" w:space="0" w:color="auto"/>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lastRenderedPageBreak/>
              <w:t>18</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Collateral and Margining (§703.104</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 xml:space="preserve">Review the reporting that shows the counterparty risk and how the credit union is compliant with the minimum transfer or </w:t>
            </w:r>
            <w:proofErr w:type="spellStart"/>
            <w:r w:rsidRPr="00452E4D">
              <w:rPr>
                <w:rFonts w:asciiTheme="minorHAnsi" w:eastAsia="Times New Roman" w:hAnsiTheme="minorHAnsi" w:cs="Arial"/>
                <w:sz w:val="22"/>
                <w:szCs w:val="24"/>
              </w:rPr>
              <w:t>FCM</w:t>
            </w:r>
            <w:proofErr w:type="spellEnd"/>
            <w:r w:rsidRPr="00452E4D">
              <w:rPr>
                <w:rFonts w:asciiTheme="minorHAnsi" w:eastAsia="Times New Roman" w:hAnsiTheme="minorHAnsi" w:cs="Arial"/>
                <w:sz w:val="22"/>
                <w:szCs w:val="24"/>
              </w:rPr>
              <w:t xml:space="preserve"> margin requirements.</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449"/>
        </w:trPr>
        <w:tc>
          <w:tcPr>
            <w:tcW w:w="238" w:type="pct"/>
            <w:tcBorders>
              <w:top w:val="nil"/>
              <w:left w:val="nil"/>
              <w:bottom w:val="nil"/>
              <w:right w:val="single" w:sz="4" w:space="0" w:color="auto"/>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19</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Support Functions (§703.107</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Review documents on what ESP(s) the credit union is using to support or integrate derivatives, and in what capacity they are being used.</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20</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Support Functions (§703.107</w:t>
            </w:r>
            <w:proofErr w:type="gramStart"/>
            <w:r>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Application contains reports that will be used for risk, position, and fair value gain (loss).</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674"/>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21</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 xml:space="preserve">Support Functions (§703.107) </w:t>
            </w:r>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Confirm that service providers for support functions are not derivative counterparties (which is not allowed by the rule).</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179"/>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22</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Support Functions (§703.107</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Credit union has demonstrated that it is capable of overseeing and managing an ESP, and has the resources to do so, where the ESP is providing interest rate risk measurement models and/or liquidity measurement and support functions.</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449"/>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23</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rPr>
                <w:rFonts w:asciiTheme="minorHAnsi" w:eastAsia="Times New Roman" w:hAnsiTheme="minorHAnsi" w:cs="Arial"/>
                <w:sz w:val="22"/>
                <w:szCs w:val="24"/>
              </w:rPr>
            </w:pPr>
            <w:r w:rsidRPr="00452E4D">
              <w:rPr>
                <w:rFonts w:asciiTheme="minorHAnsi" w:eastAsia="Times New Roman" w:hAnsiTheme="minorHAnsi" w:cs="Arial"/>
                <w:i/>
                <w:iCs/>
                <w:sz w:val="22"/>
                <w:szCs w:val="24"/>
              </w:rPr>
              <w:t>Support Functions (§703.107</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i/>
                <w:iCs/>
                <w:sz w:val="22"/>
                <w:szCs w:val="24"/>
              </w:rPr>
              <w:br/>
            </w:r>
            <w:r w:rsidRPr="00452E4D">
              <w:rPr>
                <w:rFonts w:asciiTheme="minorHAnsi" w:eastAsia="Times New Roman" w:hAnsiTheme="minorHAnsi" w:cs="Arial"/>
                <w:sz w:val="22"/>
                <w:szCs w:val="24"/>
              </w:rPr>
              <w:t>Credit union has documented how it is controlling the data and process flow integration points using a service provider.</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701"/>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24</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Legal Documents (§703.106</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Credit union has provided signed agreements with all service providers to execute transactions, support margining, and all other operational support.</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sz w:val="22"/>
                <w:szCs w:val="24"/>
              </w:rPr>
              <w:t> </w:t>
            </w:r>
          </w:p>
        </w:tc>
      </w:tr>
      <w:tr w:rsidR="005362B0" w:rsidRPr="00C54EB1" w:rsidTr="00133DBF">
        <w:trPr>
          <w:cantSplit/>
          <w:trHeight w:val="1350"/>
        </w:trPr>
        <w:tc>
          <w:tcPr>
            <w:tcW w:w="238" w:type="pct"/>
            <w:tcBorders>
              <w:top w:val="nil"/>
              <w:left w:val="nil"/>
              <w:bottom w:val="nil"/>
              <w:right w:val="nil"/>
            </w:tcBorders>
            <w:shd w:val="clear" w:color="auto" w:fill="auto"/>
            <w:noWrap/>
            <w:vAlign w:val="bottom"/>
            <w:hideMark/>
          </w:tcPr>
          <w:p w:rsidR="005362B0" w:rsidRPr="00452E4D" w:rsidRDefault="005362B0" w:rsidP="00133DBF">
            <w:pPr>
              <w:rPr>
                <w:rFonts w:asciiTheme="minorHAnsi" w:eastAsia="Times New Roman" w:hAnsiTheme="minorHAnsi" w:cs="Arial"/>
                <w:sz w:val="22"/>
                <w:szCs w:val="20"/>
              </w:rPr>
            </w:pP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b/>
                <w:bCs/>
                <w:sz w:val="22"/>
                <w:szCs w:val="24"/>
              </w:rPr>
              <w:t>Management Reporting</w:t>
            </w:r>
            <w:r w:rsidRPr="00452E4D">
              <w:rPr>
                <w:rFonts w:asciiTheme="minorHAnsi" w:eastAsia="Times New Roman" w:hAnsiTheme="minorHAnsi" w:cs="Arial"/>
                <w:b/>
                <w:bCs/>
                <w:sz w:val="22"/>
                <w:szCs w:val="24"/>
              </w:rPr>
              <w:br/>
            </w:r>
            <w:r w:rsidRPr="00452E4D">
              <w:rPr>
                <w:rFonts w:asciiTheme="minorHAnsi" w:eastAsia="Times New Roman" w:hAnsiTheme="minorHAnsi" w:cs="Arial"/>
                <w:sz w:val="22"/>
                <w:szCs w:val="24"/>
              </w:rPr>
              <w:t xml:space="preserve">Ensuring that a credit union's business plan supports its interest rate risk mitigation plans is a critical part of </w:t>
            </w:r>
            <w:proofErr w:type="spellStart"/>
            <w:r w:rsidRPr="00452E4D">
              <w:rPr>
                <w:rFonts w:asciiTheme="minorHAnsi" w:eastAsia="Times New Roman" w:hAnsiTheme="minorHAnsi" w:cs="Arial"/>
                <w:sz w:val="22"/>
                <w:szCs w:val="24"/>
              </w:rPr>
              <w:t>ALM</w:t>
            </w:r>
            <w:proofErr w:type="spellEnd"/>
            <w:r w:rsidRPr="00452E4D">
              <w:rPr>
                <w:rFonts w:asciiTheme="minorHAnsi" w:eastAsia="Times New Roman" w:hAnsiTheme="minorHAnsi" w:cs="Arial"/>
                <w:sz w:val="22"/>
                <w:szCs w:val="24"/>
              </w:rPr>
              <w:t xml:space="preserve">.  Similar to the topics above, the credit union's understanding of the hedging strategy as part of its overall balance sheet management should be documented.  For internal management reporting, the credit union should have the relevant reporting to indicate the current risks, positions and hedge effectiveness. </w:t>
            </w:r>
            <w:r w:rsidRPr="00452E4D">
              <w:rPr>
                <w:rFonts w:asciiTheme="minorHAnsi" w:eastAsia="Times New Roman" w:hAnsiTheme="minorHAnsi" w:cs="Arial"/>
                <w:b/>
                <w:bCs/>
                <w:sz w:val="22"/>
                <w:szCs w:val="24"/>
              </w:rPr>
              <w:t>Policies and procedures must be included for final review assessment.</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lastRenderedPageBreak/>
              <w:t>25</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r w:rsidRPr="00452E4D">
              <w:rPr>
                <w:rFonts w:asciiTheme="minorHAnsi" w:eastAsia="Times New Roman" w:hAnsiTheme="minorHAnsi" w:cs="Arial"/>
                <w:sz w:val="22"/>
                <w:szCs w:val="24"/>
              </w:rPr>
              <w:t xml:space="preserve">  </w:t>
            </w:r>
            <w:r w:rsidRPr="00452E4D">
              <w:rPr>
                <w:rFonts w:asciiTheme="minorHAnsi" w:eastAsia="Times New Roman" w:hAnsiTheme="minorHAnsi" w:cs="Arial"/>
                <w:sz w:val="22"/>
                <w:szCs w:val="24"/>
              </w:rPr>
              <w:br w:type="page"/>
              <w:t>Credit union has provided a detailed plan on the hedging objectives using derivatives, how other interest rate options were considered, and what the economic benefits will be and how the program is reducing or has the potential to reduce interest rate risk.</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656"/>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26</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Credit union’s risk mitigation plan considers how derivatives can be an alternative to other interest rate mitigation strategies; credit union demonstrates that it has done a cost/benefit analysis.</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944"/>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27</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Credit union outlines what analytical modeling was done to understand the risk sensitivity of the derivative positions and how effective the hedge will be.  Check for improvements or changes to the material provided for interim review, if applicable.</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278"/>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28</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Credit union uses the forward interest rate curve to estimate its cost of funds over the next five years.</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29</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 xml:space="preserve">Credit union reports </w:t>
            </w:r>
            <w:proofErr w:type="spellStart"/>
            <w:r w:rsidRPr="00452E4D">
              <w:rPr>
                <w:rFonts w:asciiTheme="minorHAnsi" w:eastAsia="Times New Roman" w:hAnsiTheme="minorHAnsi" w:cs="Arial"/>
                <w:sz w:val="22"/>
                <w:szCs w:val="24"/>
              </w:rPr>
              <w:t>NEV</w:t>
            </w:r>
            <w:proofErr w:type="spellEnd"/>
            <w:r w:rsidRPr="00452E4D">
              <w:rPr>
                <w:rFonts w:asciiTheme="minorHAnsi" w:eastAsia="Times New Roman" w:hAnsiTheme="minorHAnsi" w:cs="Arial"/>
                <w:sz w:val="22"/>
                <w:szCs w:val="24"/>
              </w:rPr>
              <w:t xml:space="preserve"> and income simulations with and without derivatives.</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539"/>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30</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Risk Mitigation Plan (§703.110</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Credit union includes both parallel and non-parallel changes in rates over the maturity spectrum (both flattening and steepening of the yield curve).</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674"/>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31</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Internal Reporting (§703.105</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Ensure the proposed reporting complies with the requirements for a comprehensive derivatives report outlined in the rule.</w:t>
            </w:r>
          </w:p>
        </w:tc>
        <w:tc>
          <w:tcPr>
            <w:tcW w:w="932" w:type="pct"/>
            <w:tcBorders>
              <w:top w:val="nil"/>
              <w:left w:val="nil"/>
              <w:bottom w:val="single" w:sz="4" w:space="0" w:color="auto"/>
              <w:right w:val="single" w:sz="4" w:space="0" w:color="auto"/>
            </w:tcBorders>
            <w:shd w:val="clear" w:color="000000" w:fill="808080"/>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b/>
                <w:bCs/>
                <w:sz w:val="22"/>
                <w:szCs w:val="24"/>
              </w:rPr>
            </w:pPr>
            <w:r w:rsidRPr="00452E4D">
              <w:rPr>
                <w:rFonts w:asciiTheme="minorHAnsi" w:eastAsia="Times New Roman" w:hAnsiTheme="minorHAnsi" w:cs="Arial"/>
                <w:b/>
                <w:bCs/>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452E4D" w:rsidRDefault="005362B0" w:rsidP="00133DBF">
            <w:pPr>
              <w:jc w:val="center"/>
              <w:rPr>
                <w:rFonts w:asciiTheme="minorHAnsi" w:eastAsia="Times New Roman" w:hAnsiTheme="minorHAnsi" w:cs="Arial"/>
                <w:sz w:val="22"/>
                <w:szCs w:val="20"/>
              </w:rPr>
            </w:pPr>
            <w:r w:rsidRPr="00452E4D">
              <w:rPr>
                <w:rFonts w:asciiTheme="minorHAnsi" w:eastAsia="Times New Roman" w:hAnsiTheme="minorHAnsi" w:cs="Arial"/>
                <w:sz w:val="22"/>
                <w:szCs w:val="20"/>
              </w:rPr>
              <w:t>32</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452E4D" w:rsidRDefault="005362B0" w:rsidP="00133DBF">
            <w:pPr>
              <w:spacing w:before="100" w:beforeAutospacing="1" w:afterAutospacing="1"/>
              <w:rPr>
                <w:rFonts w:asciiTheme="minorHAnsi" w:eastAsia="Times New Roman" w:hAnsiTheme="minorHAnsi" w:cs="Arial"/>
                <w:sz w:val="22"/>
                <w:szCs w:val="24"/>
              </w:rPr>
            </w:pPr>
            <w:r w:rsidRPr="00452E4D">
              <w:rPr>
                <w:rFonts w:asciiTheme="minorHAnsi" w:eastAsia="Times New Roman" w:hAnsiTheme="minorHAnsi" w:cs="Arial"/>
                <w:i/>
                <w:iCs/>
                <w:sz w:val="22"/>
                <w:szCs w:val="24"/>
              </w:rPr>
              <w:t>Internal Reporting (§703.105</w:t>
            </w:r>
            <w:proofErr w:type="gramStart"/>
            <w:r w:rsidRPr="00452E4D">
              <w:rPr>
                <w:rFonts w:asciiTheme="minorHAnsi" w:eastAsia="Times New Roman" w:hAnsiTheme="minorHAnsi" w:cs="Arial"/>
                <w:i/>
                <w:iCs/>
                <w:sz w:val="22"/>
                <w:szCs w:val="24"/>
              </w:rPr>
              <w:t>)</w:t>
            </w:r>
            <w:proofErr w:type="gramEnd"/>
            <w:r w:rsidRPr="00452E4D">
              <w:rPr>
                <w:rFonts w:asciiTheme="minorHAnsi" w:eastAsia="Times New Roman" w:hAnsiTheme="minorHAnsi" w:cs="Arial"/>
                <w:sz w:val="22"/>
                <w:szCs w:val="24"/>
              </w:rPr>
              <w:br/>
              <w:t>Confirm the distribution and frequency of internal reporting.</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1650"/>
        </w:trPr>
        <w:tc>
          <w:tcPr>
            <w:tcW w:w="238" w:type="pct"/>
            <w:tcBorders>
              <w:top w:val="nil"/>
              <w:left w:val="nil"/>
              <w:bottom w:val="nil"/>
              <w:right w:val="nil"/>
            </w:tcBorders>
            <w:shd w:val="clear" w:color="auto" w:fill="auto"/>
            <w:noWrap/>
            <w:vAlign w:val="bottom"/>
            <w:hideMark/>
          </w:tcPr>
          <w:p w:rsidR="005362B0" w:rsidRPr="00B718FF" w:rsidRDefault="005362B0" w:rsidP="00133DBF">
            <w:pPr>
              <w:rPr>
                <w:rFonts w:asciiTheme="minorHAnsi" w:eastAsia="Times New Roman" w:hAnsiTheme="minorHAnsi" w:cs="Arial"/>
                <w:sz w:val="22"/>
                <w:szCs w:val="20"/>
              </w:rPr>
            </w:pP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Operational Requirements</w:t>
            </w:r>
            <w:r w:rsidRPr="00B718FF">
              <w:rPr>
                <w:rFonts w:asciiTheme="minorHAnsi" w:eastAsia="Times New Roman" w:hAnsiTheme="minorHAnsi" w:cs="Arial"/>
                <w:b/>
                <w:bCs/>
                <w:sz w:val="22"/>
                <w:szCs w:val="24"/>
              </w:rPr>
              <w:br/>
            </w:r>
            <w:r w:rsidRPr="00B718FF">
              <w:rPr>
                <w:rFonts w:asciiTheme="minorHAnsi" w:eastAsia="Times New Roman" w:hAnsiTheme="minorHAnsi" w:cs="Arial"/>
                <w:sz w:val="22"/>
                <w:szCs w:val="24"/>
              </w:rPr>
              <w:t xml:space="preserve">How a credit union supports and monitors the oversight of a hedging program is critical to its success.  The governance and management of </w:t>
            </w:r>
            <w:proofErr w:type="spellStart"/>
            <w:r w:rsidRPr="00B718FF">
              <w:rPr>
                <w:rFonts w:asciiTheme="minorHAnsi" w:eastAsia="Times New Roman" w:hAnsiTheme="minorHAnsi" w:cs="Arial"/>
                <w:sz w:val="22"/>
                <w:szCs w:val="24"/>
              </w:rPr>
              <w:t>ALM</w:t>
            </w:r>
            <w:proofErr w:type="spellEnd"/>
            <w:r w:rsidRPr="00B718FF">
              <w:rPr>
                <w:rFonts w:asciiTheme="minorHAnsi" w:eastAsia="Times New Roman" w:hAnsiTheme="minorHAnsi" w:cs="Arial"/>
                <w:sz w:val="22"/>
                <w:szCs w:val="24"/>
              </w:rPr>
              <w:t xml:space="preserve"> activities, including derivatives, requires a greater level of sophistication. In this section, assess how management is conducting activities to support a hedging program and how the internal control framework is supporting those activities. Proper separation of duties, a robust internal control framework and the compliance with GAAP for accounting results are the core attributes for this section.</w:t>
            </w:r>
          </w:p>
        </w:tc>
      </w:tr>
      <w:tr w:rsidR="005362B0" w:rsidRPr="00C54EB1" w:rsidTr="00133DBF">
        <w:trPr>
          <w:cantSplit/>
          <w:trHeight w:val="719"/>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33</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Board Resolution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i/>
                <w:iCs/>
                <w:sz w:val="22"/>
                <w:szCs w:val="24"/>
              </w:rPr>
              <w:br/>
            </w:r>
            <w:r w:rsidRPr="00B718FF">
              <w:rPr>
                <w:rFonts w:asciiTheme="minorHAnsi" w:eastAsia="Times New Roman" w:hAnsiTheme="minorHAnsi" w:cs="Arial"/>
                <w:sz w:val="22"/>
                <w:szCs w:val="24"/>
              </w:rPr>
              <w:t>Review and confirm the board’s approval to use derivatives to hedge interest rate risk.</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r>
      <w:tr w:rsidR="005362B0" w:rsidRPr="00C54EB1" w:rsidTr="00133DBF">
        <w:trPr>
          <w:cantSplit/>
          <w:trHeight w:val="413"/>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34</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Board Resolution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i/>
                <w:iCs/>
                <w:sz w:val="22"/>
                <w:szCs w:val="24"/>
              </w:rPr>
              <w:br/>
            </w:r>
            <w:r w:rsidRPr="00B718FF">
              <w:rPr>
                <w:rFonts w:asciiTheme="minorHAnsi" w:eastAsia="Times New Roman" w:hAnsiTheme="minorHAnsi" w:cs="Arial"/>
                <w:sz w:val="22"/>
                <w:szCs w:val="24"/>
              </w:rPr>
              <w:t>Confirm the approach and method to how both the board and senior executives will receive training.</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r>
      <w:tr w:rsidR="005362B0" w:rsidRPr="00C54EB1" w:rsidTr="00133DBF">
        <w:trPr>
          <w:cantSplit/>
          <w:trHeight w:val="836"/>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35</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Senior Executive Officer Oversight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Credit union has provided documentation that the senior executive officers will oversee with roles and functional responsibilities in supporting all derivative activities.</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2609"/>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36</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proofErr w:type="spellStart"/>
            <w:r w:rsidRPr="00B718FF">
              <w:rPr>
                <w:rFonts w:asciiTheme="minorHAnsi" w:eastAsia="Times New Roman" w:hAnsiTheme="minorHAnsi" w:cs="Arial"/>
                <w:i/>
                <w:iCs/>
                <w:sz w:val="22"/>
                <w:szCs w:val="24"/>
              </w:rPr>
              <w:t>ALM</w:t>
            </w:r>
            <w:proofErr w:type="spellEnd"/>
            <w:r w:rsidRPr="00B718FF">
              <w:rPr>
                <w:rFonts w:asciiTheme="minorHAnsi" w:eastAsia="Times New Roman" w:hAnsiTheme="minorHAnsi" w:cs="Arial"/>
                <w:i/>
                <w:iCs/>
                <w:sz w:val="22"/>
                <w:szCs w:val="24"/>
              </w:rPr>
              <w:t xml:space="preserve"> Oversight (§703.106)</w:t>
            </w:r>
          </w:p>
          <w:p w:rsidR="005362B0" w:rsidRPr="00B718FF" w:rsidRDefault="005362B0" w:rsidP="00133DBF">
            <w:pPr>
              <w:rPr>
                <w:rFonts w:asciiTheme="minorHAnsi" w:eastAsia="Times New Roman" w:hAnsiTheme="minorHAnsi" w:cs="Arial"/>
                <w:sz w:val="22"/>
                <w:szCs w:val="24"/>
              </w:rPr>
            </w:pPr>
            <w:r w:rsidRPr="00B718FF">
              <w:rPr>
                <w:rFonts w:asciiTheme="minorHAnsi" w:eastAsia="Times New Roman" w:hAnsiTheme="minorHAnsi" w:cs="Arial"/>
                <w:sz w:val="22"/>
                <w:szCs w:val="24"/>
              </w:rPr>
              <w:t xml:space="preserve">Credit union demonstrates how transactions will be monitored and how the effectiveness of derivative activities is mitigating interest rate risk.  Credit union clearly indicates what reporting, systems and functions are being performed, and what sensitivity analysis is being performed, not only for derivatives, but in the context of the overall </w:t>
            </w:r>
            <w:proofErr w:type="spellStart"/>
            <w:r w:rsidRPr="00B718FF">
              <w:rPr>
                <w:rFonts w:asciiTheme="minorHAnsi" w:eastAsia="Times New Roman" w:hAnsiTheme="minorHAnsi" w:cs="Arial"/>
                <w:sz w:val="22"/>
                <w:szCs w:val="24"/>
              </w:rPr>
              <w:t>ALM</w:t>
            </w:r>
            <w:proofErr w:type="spellEnd"/>
            <w:r w:rsidRPr="00B718FF">
              <w:rPr>
                <w:rFonts w:asciiTheme="minorHAnsi" w:eastAsia="Times New Roman" w:hAnsiTheme="minorHAnsi" w:cs="Arial"/>
                <w:sz w:val="22"/>
                <w:szCs w:val="24"/>
              </w:rPr>
              <w:t>.   Credit union has clearly demonstrated the quality of the reporting and personnel who support these activities.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188"/>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37</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proofErr w:type="spellStart"/>
            <w:r w:rsidRPr="00B718FF">
              <w:rPr>
                <w:rFonts w:asciiTheme="minorHAnsi" w:eastAsia="Times New Roman" w:hAnsiTheme="minorHAnsi" w:cs="Arial"/>
                <w:i/>
                <w:iCs/>
                <w:sz w:val="22"/>
                <w:szCs w:val="24"/>
              </w:rPr>
              <w:t>ALM</w:t>
            </w:r>
            <w:proofErr w:type="spellEnd"/>
            <w:r w:rsidRPr="00B718FF">
              <w:rPr>
                <w:rFonts w:asciiTheme="minorHAnsi" w:eastAsia="Times New Roman" w:hAnsiTheme="minorHAnsi" w:cs="Arial"/>
                <w:i/>
                <w:iCs/>
                <w:sz w:val="22"/>
                <w:szCs w:val="24"/>
              </w:rPr>
              <w:t xml:space="preserve"> Oversight (§703.106)</w:t>
            </w:r>
          </w:p>
          <w:p w:rsidR="005362B0" w:rsidRPr="00B718FF" w:rsidRDefault="005362B0" w:rsidP="00133DBF">
            <w:pPr>
              <w:rPr>
                <w:rFonts w:asciiTheme="minorHAnsi" w:eastAsia="Times New Roman" w:hAnsiTheme="minorHAnsi" w:cs="Arial"/>
                <w:sz w:val="22"/>
                <w:szCs w:val="24"/>
              </w:rPr>
            </w:pPr>
            <w:r w:rsidRPr="00B718FF">
              <w:rPr>
                <w:rFonts w:asciiTheme="minorHAnsi" w:eastAsia="Times New Roman" w:hAnsiTheme="minorHAnsi" w:cs="Arial"/>
                <w:sz w:val="22"/>
                <w:szCs w:val="24"/>
              </w:rPr>
              <w:t>Assess the qualifications of the staff that will be supporting derivatives.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38</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proofErr w:type="spellStart"/>
            <w:r w:rsidRPr="00B718FF">
              <w:rPr>
                <w:rFonts w:asciiTheme="minorHAnsi" w:eastAsia="Times New Roman" w:hAnsiTheme="minorHAnsi" w:cs="Arial"/>
                <w:i/>
                <w:iCs/>
                <w:sz w:val="22"/>
                <w:szCs w:val="24"/>
              </w:rPr>
              <w:t>ALM</w:t>
            </w:r>
            <w:proofErr w:type="spellEnd"/>
            <w:r w:rsidRPr="00B718FF">
              <w:rPr>
                <w:rFonts w:asciiTheme="minorHAnsi" w:eastAsia="Times New Roman" w:hAnsiTheme="minorHAnsi" w:cs="Arial"/>
                <w:i/>
                <w:iCs/>
                <w:sz w:val="22"/>
                <w:szCs w:val="24"/>
              </w:rPr>
              <w:t xml:space="preserve"> Oversight (§703.106)</w:t>
            </w:r>
          </w:p>
          <w:p w:rsidR="005362B0" w:rsidRPr="00B718FF" w:rsidRDefault="005362B0" w:rsidP="00133DBF">
            <w:pPr>
              <w:rPr>
                <w:rFonts w:asciiTheme="minorHAnsi" w:eastAsia="Times New Roman" w:hAnsiTheme="minorHAnsi" w:cs="Arial"/>
                <w:sz w:val="22"/>
                <w:szCs w:val="24"/>
              </w:rPr>
            </w:pPr>
            <w:r w:rsidRPr="00B718FF">
              <w:rPr>
                <w:rFonts w:asciiTheme="minorHAnsi" w:eastAsia="Times New Roman" w:hAnsiTheme="minorHAnsi" w:cs="Arial"/>
                <w:sz w:val="22"/>
                <w:szCs w:val="24"/>
              </w:rPr>
              <w:t>Credit union indicates what reporting and functions are being performed, and what systems are being used.</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1043"/>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lastRenderedPageBreak/>
              <w:t>39</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sz w:val="22"/>
                <w:szCs w:val="24"/>
              </w:rPr>
            </w:pPr>
            <w:proofErr w:type="spellStart"/>
            <w:r w:rsidRPr="00B718FF">
              <w:rPr>
                <w:rFonts w:asciiTheme="minorHAnsi" w:eastAsia="Times New Roman" w:hAnsiTheme="minorHAnsi" w:cs="Arial"/>
                <w:i/>
                <w:iCs/>
                <w:sz w:val="22"/>
                <w:szCs w:val="24"/>
              </w:rPr>
              <w:t>ALM</w:t>
            </w:r>
            <w:proofErr w:type="spellEnd"/>
            <w:r w:rsidRPr="00B718FF">
              <w:rPr>
                <w:rFonts w:asciiTheme="minorHAnsi" w:eastAsia="Times New Roman" w:hAnsiTheme="minorHAnsi" w:cs="Arial"/>
                <w:i/>
                <w:iCs/>
                <w:sz w:val="22"/>
                <w:szCs w:val="24"/>
              </w:rPr>
              <w:t xml:space="preserve"> Oversight (§703.106)</w:t>
            </w:r>
          </w:p>
          <w:p w:rsidR="005362B0" w:rsidRPr="00B718FF" w:rsidRDefault="005362B0" w:rsidP="00133DBF">
            <w:pPr>
              <w:rPr>
                <w:rFonts w:asciiTheme="minorHAnsi" w:eastAsia="Times New Roman" w:hAnsiTheme="minorHAnsi" w:cs="Arial"/>
                <w:sz w:val="22"/>
                <w:szCs w:val="24"/>
              </w:rPr>
            </w:pPr>
            <w:r w:rsidRPr="00B718FF">
              <w:rPr>
                <w:rFonts w:asciiTheme="minorHAnsi" w:eastAsia="Times New Roman" w:hAnsiTheme="minorHAnsi" w:cs="Arial"/>
                <w:sz w:val="22"/>
                <w:szCs w:val="24"/>
              </w:rPr>
              <w:t xml:space="preserve">Credit union indicates what sensitivity analysis is being performed, not only for derivatives, but in the context of the overall </w:t>
            </w:r>
            <w:proofErr w:type="spellStart"/>
            <w:r w:rsidRPr="00B718FF">
              <w:rPr>
                <w:rFonts w:asciiTheme="minorHAnsi" w:eastAsia="Times New Roman" w:hAnsiTheme="minorHAnsi" w:cs="Arial"/>
                <w:sz w:val="22"/>
                <w:szCs w:val="24"/>
              </w:rPr>
              <w:t>ALM</w:t>
            </w:r>
            <w:proofErr w:type="spellEnd"/>
            <w:r w:rsidRPr="00B718FF">
              <w:rPr>
                <w:rFonts w:asciiTheme="minorHAnsi" w:eastAsia="Times New Roman" w:hAnsiTheme="minorHAnsi" w:cs="Arial"/>
                <w:sz w:val="22"/>
                <w:szCs w:val="24"/>
              </w:rPr>
              <w:t xml:space="preserve">.  Assess the quality of the reporting and personnel who support </w:t>
            </w:r>
            <w:proofErr w:type="spellStart"/>
            <w:r w:rsidRPr="00B718FF">
              <w:rPr>
                <w:rFonts w:asciiTheme="minorHAnsi" w:eastAsia="Times New Roman" w:hAnsiTheme="minorHAnsi" w:cs="Arial"/>
                <w:sz w:val="22"/>
                <w:szCs w:val="24"/>
              </w:rPr>
              <w:t>ALM</w:t>
            </w:r>
            <w:proofErr w:type="spellEnd"/>
            <w:r w:rsidRPr="00B718FF">
              <w:rPr>
                <w:rFonts w:asciiTheme="minorHAnsi" w:eastAsia="Times New Roman" w:hAnsiTheme="minorHAnsi" w:cs="Arial"/>
                <w:sz w:val="22"/>
                <w:szCs w:val="24"/>
              </w:rPr>
              <w:t xml:space="preserve"> activities.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251"/>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40</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Accounting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Credit union demonstrates what accounting approach it will use and how it will monitor results over the life of the transactions.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single" w:sz="4" w:space="0" w:color="auto"/>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41</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Accounting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Assess the qualifications of the staff what will be supporting this function.</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1448"/>
        </w:trPr>
        <w:tc>
          <w:tcPr>
            <w:tcW w:w="238" w:type="pct"/>
            <w:tcBorders>
              <w:top w:val="nil"/>
              <w:left w:val="nil"/>
              <w:bottom w:val="nil"/>
              <w:right w:val="single" w:sz="4" w:space="0" w:color="auto"/>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42</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Accounting (§703.106)</w:t>
            </w:r>
            <w:r w:rsidRPr="00B718FF">
              <w:rPr>
                <w:rFonts w:asciiTheme="minorHAnsi" w:eastAsia="Times New Roman" w:hAnsiTheme="minorHAnsi" w:cs="Arial"/>
                <w:sz w:val="22"/>
                <w:szCs w:val="24"/>
              </w:rPr>
              <w:br/>
              <w:t>Credit union demonstrates that hedge accounting results will be continually tested for effectiveness, secure required documentation, and record appropriate accounting using an approach that is consistent with its hedging strategy.  Review the policies and procedures for this.</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91"/>
        </w:trPr>
        <w:tc>
          <w:tcPr>
            <w:tcW w:w="238" w:type="pct"/>
            <w:tcBorders>
              <w:top w:val="nil"/>
              <w:left w:val="nil"/>
              <w:bottom w:val="nil"/>
              <w:right w:val="single" w:sz="4" w:space="0" w:color="auto"/>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43</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Accounting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Review the policies and procedures provided by the credit union to confirm that the suggested accounting approach is consistent with the hedging strategy.</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251"/>
        </w:trPr>
        <w:tc>
          <w:tcPr>
            <w:tcW w:w="238" w:type="pct"/>
            <w:tcBorders>
              <w:top w:val="nil"/>
              <w:left w:val="nil"/>
              <w:bottom w:val="nil"/>
              <w:right w:val="single" w:sz="4" w:space="0" w:color="auto"/>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44</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Financial Statement Audit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Credit union demonstrates that a year-end financial statement audit will be performed inclusive of all derivatives activities.</w:t>
            </w:r>
          </w:p>
        </w:tc>
        <w:tc>
          <w:tcPr>
            <w:tcW w:w="932" w:type="pct"/>
            <w:tcBorders>
              <w:top w:val="single" w:sz="4" w:space="0" w:color="auto"/>
              <w:left w:val="single" w:sz="4" w:space="0" w:color="auto"/>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1061"/>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45</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Internal Controls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i/>
                <w:iCs/>
                <w:sz w:val="22"/>
                <w:szCs w:val="24"/>
              </w:rPr>
              <w:br/>
            </w:r>
            <w:r w:rsidRPr="00B718FF">
              <w:rPr>
                <w:rFonts w:asciiTheme="minorHAnsi" w:eastAsia="Times New Roman" w:hAnsiTheme="minorHAnsi" w:cs="Arial"/>
                <w:sz w:val="22"/>
                <w:szCs w:val="24"/>
              </w:rPr>
              <w:t>Credit union confirms that an independent assessment of internal controls will be conducted for the first two years of the program, and provides a confirmation from the internal audit group or auditors.</w:t>
            </w:r>
          </w:p>
        </w:tc>
        <w:tc>
          <w:tcPr>
            <w:tcW w:w="932" w:type="pct"/>
            <w:tcBorders>
              <w:top w:val="single" w:sz="4" w:space="0" w:color="auto"/>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46</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Process Framework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Credit union’s internal control framework documents the roles and responsibilities for all the activities needed to support derivative activities, including the separation of duties.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269"/>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lastRenderedPageBreak/>
              <w:t>47</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i/>
                <w:iCs/>
                <w:sz w:val="22"/>
                <w:szCs w:val="24"/>
              </w:rPr>
              <w:t>Process Framework (§703.106</w:t>
            </w:r>
            <w:proofErr w:type="gramStart"/>
            <w:r w:rsidRPr="00B718FF">
              <w:rPr>
                <w:rFonts w:asciiTheme="minorHAnsi" w:eastAsia="Times New Roman" w:hAnsiTheme="minorHAnsi" w:cs="Arial"/>
                <w:i/>
                <w:iCs/>
                <w:sz w:val="22"/>
                <w:szCs w:val="24"/>
              </w:rPr>
              <w:t>)</w:t>
            </w:r>
            <w:proofErr w:type="gramEnd"/>
            <w:r w:rsidRPr="00B718FF">
              <w:rPr>
                <w:rFonts w:asciiTheme="minorHAnsi" w:eastAsia="Times New Roman" w:hAnsiTheme="minorHAnsi" w:cs="Arial"/>
                <w:sz w:val="22"/>
                <w:szCs w:val="24"/>
              </w:rPr>
              <w:br/>
              <w:t>Analyze the depth and robustness of the roles, personnel and controls as the focus of this review.</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01"/>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48</w:t>
            </w:r>
          </w:p>
        </w:tc>
        <w:tc>
          <w:tcPr>
            <w:tcW w:w="1956" w:type="pct"/>
            <w:tcBorders>
              <w:top w:val="nil"/>
              <w:left w:val="single" w:sz="4" w:space="0" w:color="auto"/>
              <w:bottom w:val="single" w:sz="4" w:space="0" w:color="auto"/>
              <w:right w:val="single" w:sz="4" w:space="0" w:color="auto"/>
            </w:tcBorders>
            <w:shd w:val="clear" w:color="auto" w:fill="auto"/>
            <w:hideMark/>
          </w:tcPr>
          <w:p w:rsidR="005362B0" w:rsidRDefault="005362B0" w:rsidP="00133DBF">
            <w:pPr>
              <w:rPr>
                <w:rFonts w:asciiTheme="minorHAnsi" w:eastAsia="Times New Roman" w:hAnsiTheme="minorHAnsi" w:cs="Arial"/>
                <w:i/>
                <w:iCs/>
                <w:sz w:val="22"/>
                <w:szCs w:val="24"/>
              </w:rPr>
            </w:pPr>
            <w:r w:rsidRPr="00B718FF">
              <w:rPr>
                <w:rFonts w:asciiTheme="minorHAnsi" w:eastAsia="Times New Roman" w:hAnsiTheme="minorHAnsi" w:cs="Arial"/>
                <w:i/>
                <w:iCs/>
                <w:sz w:val="22"/>
                <w:szCs w:val="24"/>
              </w:rPr>
              <w:t>Separation of Duties</w:t>
            </w:r>
            <w:r w:rsidRPr="00B718FF">
              <w:rPr>
                <w:rFonts w:asciiTheme="minorHAnsi" w:eastAsia="Times New Roman" w:hAnsiTheme="minorHAnsi" w:cs="Arial"/>
                <w:b/>
                <w:bCs/>
                <w:i/>
                <w:iCs/>
                <w:sz w:val="22"/>
                <w:szCs w:val="24"/>
              </w:rPr>
              <w:t xml:space="preserve"> </w:t>
            </w:r>
            <w:r w:rsidRPr="00B718FF">
              <w:rPr>
                <w:rFonts w:asciiTheme="minorHAnsi" w:eastAsia="Times New Roman" w:hAnsiTheme="minorHAnsi" w:cs="Arial"/>
                <w:i/>
                <w:iCs/>
                <w:sz w:val="22"/>
                <w:szCs w:val="24"/>
              </w:rPr>
              <w:t>(§703.106)</w:t>
            </w:r>
            <w:r w:rsidRPr="00B718FF">
              <w:rPr>
                <w:rFonts w:asciiTheme="minorHAnsi" w:eastAsia="Times New Roman" w:hAnsiTheme="minorHAnsi" w:cs="Arial"/>
                <w:i/>
                <w:iCs/>
                <w:sz w:val="22"/>
                <w:szCs w:val="24"/>
              </w:rPr>
              <w:br w:type="page"/>
            </w:r>
          </w:p>
          <w:p w:rsidR="005362B0" w:rsidRPr="00B718FF" w:rsidRDefault="005362B0" w:rsidP="00133DBF">
            <w:pPr>
              <w:rPr>
                <w:rFonts w:asciiTheme="minorHAnsi" w:eastAsia="Times New Roman" w:hAnsiTheme="minorHAnsi" w:cs="Arial"/>
                <w:b/>
                <w:bCs/>
                <w:sz w:val="22"/>
                <w:szCs w:val="24"/>
              </w:rPr>
            </w:pPr>
            <w:r w:rsidRPr="00B718FF">
              <w:rPr>
                <w:rFonts w:asciiTheme="minorHAnsi" w:eastAsia="Times New Roman" w:hAnsiTheme="minorHAnsi" w:cs="Arial"/>
                <w:sz w:val="22"/>
                <w:szCs w:val="24"/>
              </w:rPr>
              <w:t>Credit union’s internal control framework documents the roles and responsibilities for all the activities needed to support derivative activities, including the separation of duties.</w:t>
            </w:r>
          </w:p>
        </w:tc>
        <w:tc>
          <w:tcPr>
            <w:tcW w:w="932" w:type="pct"/>
            <w:tcBorders>
              <w:top w:val="nil"/>
              <w:left w:val="nil"/>
              <w:bottom w:val="single" w:sz="4" w:space="0" w:color="auto"/>
              <w:right w:val="single" w:sz="4" w:space="0" w:color="auto"/>
            </w:tcBorders>
            <w:shd w:val="clear" w:color="000000" w:fill="808080"/>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nil"/>
              <w:left w:val="nil"/>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330"/>
        </w:trPr>
        <w:tc>
          <w:tcPr>
            <w:tcW w:w="238" w:type="pct"/>
            <w:tcBorders>
              <w:top w:val="nil"/>
              <w:left w:val="nil"/>
              <w:bottom w:val="nil"/>
              <w:right w:val="nil"/>
            </w:tcBorders>
            <w:shd w:val="clear" w:color="auto" w:fill="auto"/>
            <w:noWrap/>
            <w:vAlign w:val="bottom"/>
            <w:hideMark/>
          </w:tcPr>
          <w:p w:rsidR="005362B0" w:rsidRPr="00B718FF" w:rsidRDefault="005362B0" w:rsidP="00133DBF">
            <w:pPr>
              <w:rPr>
                <w:rFonts w:asciiTheme="minorHAnsi" w:eastAsia="Times New Roman" w:hAnsiTheme="minorHAnsi" w:cs="Arial"/>
                <w:sz w:val="22"/>
                <w:szCs w:val="20"/>
              </w:rPr>
            </w:pPr>
          </w:p>
        </w:tc>
        <w:tc>
          <w:tcPr>
            <w:tcW w:w="4762" w:type="pct"/>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Application Assessment Conclusion and Recommendation (Final Approval)</w:t>
            </w:r>
          </w:p>
        </w:tc>
      </w:tr>
      <w:tr w:rsidR="005362B0" w:rsidRPr="00C54EB1" w:rsidTr="00133DBF">
        <w:trPr>
          <w:cantSplit/>
          <w:trHeight w:val="728"/>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49</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Is the application content and business plan sufficient enough to determine that the credit union could control a derivatives program?</w:t>
            </w:r>
          </w:p>
        </w:tc>
        <w:tc>
          <w:tcPr>
            <w:tcW w:w="932" w:type="pct"/>
            <w:tcBorders>
              <w:top w:val="single" w:sz="4" w:space="0" w:color="auto"/>
              <w:left w:val="nil"/>
              <w:bottom w:val="single" w:sz="4" w:space="0" w:color="auto"/>
              <w:right w:val="single" w:sz="4" w:space="0" w:color="auto"/>
            </w:tcBorders>
            <w:shd w:val="clear" w:color="000000" w:fill="808080"/>
            <w:vAlign w:val="center"/>
            <w:hideMark/>
          </w:tcPr>
          <w:p w:rsidR="005362B0" w:rsidRPr="00B718FF" w:rsidRDefault="005362B0" w:rsidP="00133DBF">
            <w:pPr>
              <w:spacing w:before="100" w:beforeAutospacing="1" w:afterAutospacing="1"/>
              <w:jc w:val="center"/>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5362B0" w:rsidRPr="00B718FF" w:rsidRDefault="005362B0" w:rsidP="00133DBF">
            <w:pPr>
              <w:spacing w:before="100" w:beforeAutospacing="1" w:afterAutospacing="1"/>
              <w:jc w:val="center"/>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5362B0" w:rsidRPr="00B718FF" w:rsidRDefault="005362B0" w:rsidP="00133DBF">
            <w:pPr>
              <w:spacing w:before="100" w:beforeAutospacing="1" w:afterAutospacing="1"/>
              <w:jc w:val="center"/>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431"/>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50</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xml:space="preserve">Given the information that has been presented to me, and in consultation with the other panel member and field office staff, I recommend to </w:t>
            </w:r>
            <w:r w:rsidRPr="00B718FF">
              <w:rPr>
                <w:rFonts w:asciiTheme="minorHAnsi" w:eastAsia="Times New Roman" w:hAnsiTheme="minorHAnsi" w:cs="Arial"/>
                <w:b/>
                <w:bCs/>
                <w:sz w:val="22"/>
                <w:szCs w:val="24"/>
              </w:rPr>
              <w:t xml:space="preserve">approve/decline </w:t>
            </w:r>
            <w:r w:rsidRPr="00B718FF">
              <w:rPr>
                <w:rFonts w:asciiTheme="minorHAnsi" w:eastAsia="Times New Roman" w:hAnsiTheme="minorHAnsi" w:cs="Arial"/>
                <w:sz w:val="22"/>
                <w:szCs w:val="24"/>
              </w:rPr>
              <w:t>this application.</w:t>
            </w:r>
          </w:p>
        </w:tc>
        <w:tc>
          <w:tcPr>
            <w:tcW w:w="932" w:type="pct"/>
            <w:tcBorders>
              <w:top w:val="single" w:sz="4" w:space="0" w:color="auto"/>
              <w:left w:val="nil"/>
              <w:bottom w:val="single" w:sz="4" w:space="0" w:color="auto"/>
              <w:right w:val="single" w:sz="4" w:space="0" w:color="auto"/>
            </w:tcBorders>
            <w:shd w:val="clear" w:color="000000" w:fill="808080"/>
            <w:vAlign w:val="center"/>
            <w:hideMark/>
          </w:tcPr>
          <w:p w:rsidR="005362B0" w:rsidRPr="00B718FF" w:rsidRDefault="005362B0" w:rsidP="00133DBF">
            <w:pPr>
              <w:spacing w:before="100" w:beforeAutospacing="1" w:afterAutospacing="1"/>
              <w:jc w:val="center"/>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5362B0" w:rsidRPr="00B718FF" w:rsidRDefault="005362B0" w:rsidP="00133DBF">
            <w:pPr>
              <w:spacing w:before="100" w:beforeAutospacing="1" w:afterAutospacing="1"/>
              <w:jc w:val="center"/>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5362B0" w:rsidRPr="00B718FF" w:rsidRDefault="005362B0" w:rsidP="00133DBF">
            <w:pPr>
              <w:spacing w:before="100" w:beforeAutospacing="1" w:afterAutospacing="1"/>
              <w:jc w:val="center"/>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tr w:rsidR="005362B0" w:rsidRPr="00C54EB1" w:rsidTr="00133DBF">
        <w:trPr>
          <w:cantSplit/>
          <w:trHeight w:val="70"/>
        </w:trPr>
        <w:tc>
          <w:tcPr>
            <w:tcW w:w="238" w:type="pct"/>
            <w:tcBorders>
              <w:top w:val="nil"/>
              <w:left w:val="nil"/>
              <w:bottom w:val="nil"/>
              <w:right w:val="nil"/>
            </w:tcBorders>
            <w:shd w:val="clear" w:color="auto" w:fill="auto"/>
            <w:noWrap/>
            <w:vAlign w:val="center"/>
            <w:hideMark/>
          </w:tcPr>
          <w:p w:rsidR="005362B0" w:rsidRPr="00B718FF" w:rsidRDefault="005362B0" w:rsidP="00133DBF">
            <w:pPr>
              <w:jc w:val="center"/>
              <w:rPr>
                <w:rFonts w:asciiTheme="minorHAnsi" w:eastAsia="Times New Roman" w:hAnsiTheme="minorHAnsi" w:cs="Arial"/>
                <w:sz w:val="22"/>
                <w:szCs w:val="20"/>
              </w:rPr>
            </w:pPr>
            <w:r w:rsidRPr="00B718FF">
              <w:rPr>
                <w:rFonts w:asciiTheme="minorHAnsi" w:eastAsia="Times New Roman" w:hAnsiTheme="minorHAnsi" w:cs="Arial"/>
                <w:sz w:val="22"/>
                <w:szCs w:val="20"/>
              </w:rPr>
              <w:t>51</w:t>
            </w:r>
          </w:p>
        </w:tc>
        <w:tc>
          <w:tcPr>
            <w:tcW w:w="1956" w:type="pct"/>
            <w:tcBorders>
              <w:top w:val="single" w:sz="4" w:space="0" w:color="auto"/>
              <w:left w:val="single" w:sz="4" w:space="0" w:color="auto"/>
              <w:bottom w:val="single" w:sz="4" w:space="0" w:color="auto"/>
              <w:right w:val="single" w:sz="4" w:space="0" w:color="auto"/>
            </w:tcBorders>
            <w:shd w:val="clear" w:color="auto" w:fill="auto"/>
            <w:hideMark/>
          </w:tcPr>
          <w:p w:rsidR="005362B0" w:rsidRPr="00B718FF" w:rsidRDefault="005362B0" w:rsidP="00133DBF">
            <w:pPr>
              <w:spacing w:before="100" w:beforeAutospacing="1" w:afterAutospacing="1"/>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Joint panel recommendation for final authority (approve or decline)</w:t>
            </w:r>
          </w:p>
        </w:tc>
        <w:tc>
          <w:tcPr>
            <w:tcW w:w="932" w:type="pct"/>
            <w:tcBorders>
              <w:top w:val="single" w:sz="4" w:space="0" w:color="auto"/>
              <w:left w:val="nil"/>
              <w:bottom w:val="single" w:sz="4" w:space="0" w:color="auto"/>
              <w:right w:val="single" w:sz="4" w:space="0" w:color="auto"/>
            </w:tcBorders>
            <w:shd w:val="clear" w:color="000000" w:fill="808080"/>
            <w:vAlign w:val="center"/>
            <w:hideMark/>
          </w:tcPr>
          <w:p w:rsidR="005362B0" w:rsidRPr="00B718FF" w:rsidRDefault="005362B0" w:rsidP="00133DBF">
            <w:pPr>
              <w:spacing w:before="100" w:beforeAutospacing="1" w:afterAutospacing="1"/>
              <w:jc w:val="center"/>
              <w:rPr>
                <w:rFonts w:asciiTheme="minorHAnsi" w:eastAsia="Times New Roman" w:hAnsiTheme="minorHAnsi" w:cs="Arial"/>
                <w:b/>
                <w:bCs/>
                <w:sz w:val="22"/>
                <w:szCs w:val="24"/>
              </w:rPr>
            </w:pPr>
            <w:r w:rsidRPr="00B718FF">
              <w:rPr>
                <w:rFonts w:asciiTheme="minorHAnsi" w:eastAsia="Times New Roman" w:hAnsiTheme="minorHAnsi" w:cs="Arial"/>
                <w:b/>
                <w:bCs/>
                <w:sz w:val="22"/>
                <w:szCs w:val="24"/>
              </w:rPr>
              <w:t> </w:t>
            </w:r>
          </w:p>
        </w:tc>
        <w:tc>
          <w:tcPr>
            <w:tcW w:w="937" w:type="pct"/>
            <w:tcBorders>
              <w:top w:val="single" w:sz="4" w:space="0" w:color="auto"/>
              <w:left w:val="nil"/>
              <w:bottom w:val="single" w:sz="4" w:space="0" w:color="auto"/>
              <w:right w:val="single" w:sz="4" w:space="0" w:color="auto"/>
            </w:tcBorders>
            <w:shd w:val="clear" w:color="000000" w:fill="808080"/>
            <w:noWrap/>
            <w:vAlign w:val="bottom"/>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c>
          <w:tcPr>
            <w:tcW w:w="937" w:type="pct"/>
            <w:tcBorders>
              <w:top w:val="single" w:sz="4" w:space="0" w:color="auto"/>
              <w:left w:val="nil"/>
              <w:bottom w:val="single" w:sz="4" w:space="0" w:color="auto"/>
              <w:right w:val="single" w:sz="4" w:space="0" w:color="auto"/>
            </w:tcBorders>
            <w:shd w:val="clear" w:color="auto" w:fill="auto"/>
            <w:noWrap/>
            <w:vAlign w:val="bottom"/>
            <w:hideMark/>
          </w:tcPr>
          <w:p w:rsidR="005362B0" w:rsidRPr="00B718FF" w:rsidRDefault="005362B0" w:rsidP="00133DBF">
            <w:pPr>
              <w:spacing w:before="100" w:beforeAutospacing="1" w:afterAutospacing="1"/>
              <w:rPr>
                <w:rFonts w:asciiTheme="minorHAnsi" w:eastAsia="Times New Roman" w:hAnsiTheme="minorHAnsi" w:cs="Arial"/>
                <w:sz w:val="22"/>
                <w:szCs w:val="24"/>
              </w:rPr>
            </w:pPr>
            <w:r w:rsidRPr="00B718FF">
              <w:rPr>
                <w:rFonts w:asciiTheme="minorHAnsi" w:eastAsia="Times New Roman" w:hAnsiTheme="minorHAnsi" w:cs="Arial"/>
                <w:sz w:val="22"/>
                <w:szCs w:val="24"/>
              </w:rPr>
              <w:t> </w:t>
            </w:r>
          </w:p>
        </w:tc>
      </w:tr>
      <w:bookmarkEnd w:id="0"/>
      <w:bookmarkEnd w:id="1"/>
      <w:bookmarkEnd w:id="2"/>
      <w:bookmarkEnd w:id="3"/>
      <w:bookmarkEnd w:id="4"/>
    </w:tbl>
    <w:p w:rsidR="005362B0" w:rsidRPr="00E45857" w:rsidRDefault="005362B0" w:rsidP="007E0B58">
      <w:pPr>
        <w:pStyle w:val="BodyText"/>
        <w:spacing w:after="0"/>
        <w:rPr>
          <w:lang w:eastAsia="zh-CN"/>
        </w:rPr>
      </w:pPr>
    </w:p>
    <w:sectPr w:rsidR="005362B0" w:rsidRPr="00E45857" w:rsidSect="00D14EC3">
      <w:headerReference w:type="default" r:id="rId15"/>
      <w:headerReference w:type="first" r:id="rId16"/>
      <w:pgSz w:w="12240" w:h="15840"/>
      <w:pgMar w:top="1296" w:right="1296"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34E" w:rsidRDefault="002E434E" w:rsidP="00003698">
      <w:r>
        <w:separator/>
      </w:r>
    </w:p>
  </w:endnote>
  <w:endnote w:type="continuationSeparator" w:id="0">
    <w:p w:rsidR="002E434E" w:rsidRDefault="002E434E" w:rsidP="00003698">
      <w:r>
        <w:continuationSeparator/>
      </w:r>
    </w:p>
  </w:endnote>
  <w:endnote w:type="continuationNotice" w:id="1">
    <w:p w:rsidR="002E434E" w:rsidRDefault="002E4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34E" w:rsidRDefault="002E434E" w:rsidP="00003698">
      <w:r>
        <w:separator/>
      </w:r>
    </w:p>
  </w:footnote>
  <w:footnote w:type="continuationSeparator" w:id="0">
    <w:p w:rsidR="002E434E" w:rsidRDefault="002E434E" w:rsidP="00003698">
      <w:r>
        <w:continuationSeparator/>
      </w:r>
    </w:p>
  </w:footnote>
  <w:footnote w:type="continuationNotice" w:id="1">
    <w:p w:rsidR="002E434E" w:rsidRDefault="002E434E"/>
  </w:footnote>
  <w:footnote w:id="2">
    <w:p w:rsidR="00915D63" w:rsidRPr="00BD4889" w:rsidRDefault="00915D63" w:rsidP="005362B0">
      <w:pPr>
        <w:pStyle w:val="FootnoteText"/>
        <w:rPr>
          <w:rFonts w:ascii="Times New Roman" w:hAnsi="Times New Roman"/>
        </w:rPr>
      </w:pPr>
      <w:r w:rsidRPr="00BD4889">
        <w:rPr>
          <w:rStyle w:val="FootnoteReference"/>
          <w:rFonts w:ascii="Times New Roman" w:hAnsi="Times New Roman"/>
        </w:rPr>
        <w:footnoteRef/>
      </w:r>
      <w:r w:rsidRPr="00BD4889">
        <w:rPr>
          <w:rFonts w:ascii="Times New Roman" w:hAnsi="Times New Roman"/>
        </w:rPr>
        <w:t xml:space="preserve"> If credit union has less than $250 million in assets, it must submit documentation </w:t>
      </w:r>
      <w:r>
        <w:rPr>
          <w:rFonts w:ascii="Times New Roman" w:hAnsi="Times New Roman"/>
        </w:rPr>
        <w:t>supporting the Field Director’s</w:t>
      </w:r>
      <w:r w:rsidRPr="00BD4889">
        <w:rPr>
          <w:rFonts w:ascii="Times New Roman" w:hAnsi="Times New Roman"/>
        </w:rPr>
        <w:t xml:space="preserve"> approval </w:t>
      </w:r>
      <w:r>
        <w:rPr>
          <w:rFonts w:ascii="Times New Roman" w:hAnsi="Times New Roman"/>
        </w:rPr>
        <w:t>as part of its</w:t>
      </w:r>
      <w:r w:rsidRPr="00BD4889">
        <w:rPr>
          <w:rFonts w:ascii="Times New Roman" w:hAnsi="Times New Roman"/>
        </w:rPr>
        <w:t xml:space="preserve"> application for derivatives authority.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30B" w:rsidRDefault="0025130B" w:rsidP="0025130B">
    <w:pPr>
      <w:pStyle w:val="Heading1"/>
      <w:jc w:val="center"/>
    </w:pPr>
    <w:r>
      <w:t>Derivatives Authority</w:t>
    </w:r>
  </w:p>
  <w:p w:rsidR="0025130B" w:rsidRDefault="0025130B" w:rsidP="0025130B">
    <w:pPr>
      <w:pStyle w:val="Heading1"/>
      <w:jc w:val="center"/>
      <w:rPr>
        <w:sz w:val="32"/>
      </w:rPr>
    </w:pPr>
    <w:proofErr w:type="spellStart"/>
    <w:r>
      <w:rPr>
        <w:sz w:val="32"/>
      </w:rPr>
      <w:t>Qualitatitive</w:t>
    </w:r>
    <w:proofErr w:type="spellEnd"/>
    <w:r>
      <w:rPr>
        <w:sz w:val="32"/>
      </w:rPr>
      <w:t xml:space="preserve"> Review Checklist</w:t>
    </w:r>
  </w:p>
  <w:p w:rsidR="0025130B" w:rsidRDefault="002513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9A1" w:rsidRDefault="005539A1" w:rsidP="0025130B">
    <w:pPr>
      <w:pStyle w:val="Heading1"/>
      <w:jc w:val="center"/>
    </w:pPr>
    <w:bookmarkStart w:id="6" w:name="_Toc410730864"/>
    <w:bookmarkStart w:id="7" w:name="_Toc374715954"/>
    <w:bookmarkStart w:id="8" w:name="_Toc350243830"/>
    <w:bookmarkStart w:id="9" w:name="_Toc378338555"/>
    <w:bookmarkStart w:id="10" w:name="_Toc410730892"/>
    <w:bookmarkStart w:id="11" w:name="_Toc410730897"/>
    <w:bookmarkStart w:id="12" w:name="_Toc374716029"/>
    <w:bookmarkStart w:id="13" w:name="_Toc378338633"/>
    <w:bookmarkStart w:id="14" w:name="app7b"/>
    <w:bookmarkStart w:id="15" w:name="_Toc350243861"/>
    <w:bookmarkStart w:id="16" w:name="_Toc391300652"/>
    <w:bookmarkStart w:id="17" w:name="_Toc410730902"/>
    <w:r>
      <w:t>D</w:t>
    </w:r>
    <w:r w:rsidR="0025130B">
      <w:t>erivatives Authority</w:t>
    </w:r>
  </w:p>
  <w:bookmarkEnd w:id="6"/>
  <w:bookmarkEnd w:id="7"/>
  <w:bookmarkEnd w:id="8"/>
  <w:bookmarkEnd w:id="9"/>
  <w:p w:rsidR="005539A1" w:rsidRDefault="005539A1" w:rsidP="0025130B">
    <w:pPr>
      <w:pStyle w:val="Heading1"/>
      <w:jc w:val="center"/>
      <w:rPr>
        <w:sz w:val="32"/>
      </w:rPr>
    </w:pPr>
    <w:proofErr w:type="spellStart"/>
    <w:r>
      <w:rPr>
        <w:sz w:val="32"/>
      </w:rPr>
      <w:t>Qualitatitive</w:t>
    </w:r>
    <w:proofErr w:type="spellEnd"/>
    <w:r>
      <w:rPr>
        <w:sz w:val="32"/>
      </w:rPr>
      <w:t xml:space="preserve"> Review Checklist</w:t>
    </w:r>
  </w:p>
  <w:p w:rsidR="0025130B" w:rsidRPr="0025130B" w:rsidRDefault="0025130B" w:rsidP="0025130B"/>
  <w:bookmarkEnd w:id="10"/>
  <w:bookmarkEnd w:id="11"/>
  <w:bookmarkEnd w:id="12"/>
  <w:bookmarkEnd w:id="13"/>
  <w:bookmarkEnd w:id="14"/>
  <w:bookmarkEnd w:id="15"/>
  <w:bookmarkEnd w:id="16"/>
  <w:bookmarkEnd w:id="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30B"/>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34E"/>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0E"/>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39A1"/>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3DC3"/>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0B58"/>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67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C42"/>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F99EAF5-48CC-4F25-B0F3-15B34C5978EB}">
  <ds:schemaRefs>
    <ds:schemaRef ds:uri="http://schemas.openxmlformats.org/officeDocument/2006/bibliography"/>
  </ds:schemaRefs>
</ds:datastoreItem>
</file>

<file path=customXml/itemProps6.xml><?xml version="1.0" encoding="utf-8"?>
<ds:datastoreItem xmlns:ds="http://schemas.openxmlformats.org/officeDocument/2006/customXml" ds:itemID="{366E6094-4B6D-4943-B71E-6B117871329A}">
  <ds:schemaRefs>
    <ds:schemaRef ds:uri="http://schemas.openxmlformats.org/officeDocument/2006/bibliography"/>
  </ds:schemaRefs>
</ds:datastoreItem>
</file>

<file path=customXml/itemProps7.xml><?xml version="1.0" encoding="utf-8"?>
<ds:datastoreItem xmlns:ds="http://schemas.openxmlformats.org/officeDocument/2006/customXml" ds:itemID="{D933FE1C-0883-4234-99D9-F3357490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2015-02-03T21:16:00Z</dcterms:created>
  <dcterms:modified xsi:type="dcterms:W3CDTF">2015-02-12T20:32:00Z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