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Default="005362B0" w:rsidP="005362B0">
      <w:pPr>
        <w:rPr>
          <w:rFonts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r>
        <w:rPr>
          <w:rFonts w:cs="Times New Roman"/>
          <w:szCs w:val="24"/>
        </w:rPr>
        <w:t xml:space="preserve">Field offices will log and track each application or notification received from a federal credit union or federally </w:t>
      </w:r>
      <w:proofErr w:type="gramStart"/>
      <w:r>
        <w:rPr>
          <w:rFonts w:cs="Times New Roman"/>
          <w:szCs w:val="24"/>
        </w:rPr>
        <w:t>insured,</w:t>
      </w:r>
      <w:proofErr w:type="gramEnd"/>
      <w:r>
        <w:rPr>
          <w:rFonts w:cs="Times New Roman"/>
          <w:szCs w:val="24"/>
        </w:rPr>
        <w:t xml:space="preserve"> state-chartered credit union. Upon receipt, the field office will assign each </w:t>
      </w:r>
      <w:r w:rsidRPr="00F122A9">
        <w:rPr>
          <w:rFonts w:cs="Times New Roman"/>
          <w:szCs w:val="24"/>
        </w:rPr>
        <w:t>application or notification</w:t>
      </w:r>
      <w:r>
        <w:rPr>
          <w:rFonts w:cs="Times New Roman"/>
          <w:szCs w:val="24"/>
        </w:rPr>
        <w:t xml:space="preserve"> a number and enter it in DIAL. Each application and notification will be entered in a separate column.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official log will be maintained on SharePoint. Access will be granted to the regional owners of data that is entered into the log. </w:t>
      </w:r>
      <w:r w:rsidRPr="00F122A9">
        <w:rPr>
          <w:rFonts w:cs="Times New Roman"/>
          <w:szCs w:val="24"/>
        </w:rPr>
        <w:t>Maintaining the log relieve</w:t>
      </w:r>
      <w:r>
        <w:rPr>
          <w:rFonts w:cs="Times New Roman"/>
          <w:szCs w:val="24"/>
        </w:rPr>
        <w:t>s</w:t>
      </w:r>
      <w:r w:rsidRPr="00F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field offices</w:t>
      </w:r>
      <w:r w:rsidRPr="00F122A9">
        <w:rPr>
          <w:rFonts w:cs="Times New Roman"/>
          <w:szCs w:val="24"/>
        </w:rPr>
        <w:t xml:space="preserve"> from reporting</w:t>
      </w:r>
      <w:r>
        <w:rPr>
          <w:rFonts w:cs="Times New Roman"/>
          <w:szCs w:val="24"/>
        </w:rPr>
        <w:t xml:space="preserve"> derivatives data separately to </w:t>
      </w:r>
      <w:proofErr w:type="gramStart"/>
      <w:r>
        <w:rPr>
          <w:rFonts w:cs="Times New Roman"/>
          <w:szCs w:val="24"/>
        </w:rPr>
        <w:t>E&amp;I</w:t>
      </w:r>
      <w:proofErr w:type="gramEnd"/>
      <w:r>
        <w:rPr>
          <w:rFonts w:cs="Times New Roman"/>
          <w:szCs w:val="24"/>
        </w:rPr>
        <w:t>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Pr="007661D8" w:rsidRDefault="005362B0" w:rsidP="005362B0">
      <w:pPr>
        <w:rPr>
          <w:rFonts w:cs="Times New Roman"/>
          <w:szCs w:val="24"/>
        </w:rPr>
      </w:pPr>
      <w:r w:rsidRPr="007661D8">
        <w:rPr>
          <w:rFonts w:cs="Times New Roman"/>
          <w:szCs w:val="24"/>
        </w:rPr>
        <w:t xml:space="preserve">E&amp;I will monitor </w:t>
      </w:r>
      <w:r>
        <w:rPr>
          <w:rFonts w:cs="Times New Roman"/>
          <w:szCs w:val="24"/>
        </w:rPr>
        <w:t xml:space="preserve">the log on a regular basis, </w:t>
      </w:r>
      <w:r w:rsidRPr="007661D8">
        <w:rPr>
          <w:rFonts w:cs="Times New Roman"/>
          <w:szCs w:val="24"/>
        </w:rPr>
        <w:t xml:space="preserve">and discuss progress on </w:t>
      </w:r>
      <w:r>
        <w:rPr>
          <w:rFonts w:cs="Times New Roman"/>
          <w:szCs w:val="24"/>
        </w:rPr>
        <w:t xml:space="preserve">log </w:t>
      </w:r>
      <w:r w:rsidRPr="007661D8">
        <w:rPr>
          <w:rFonts w:cs="Times New Roman"/>
          <w:szCs w:val="24"/>
        </w:rPr>
        <w:t>activity</w:t>
      </w:r>
      <w:r>
        <w:rPr>
          <w:rFonts w:cs="Times New Roman"/>
          <w:szCs w:val="24"/>
        </w:rPr>
        <w:t xml:space="preserve"> with regional contacts. E&amp;I will also assist with </w:t>
      </w:r>
      <w:r w:rsidRPr="007661D8">
        <w:rPr>
          <w:rFonts w:cs="Times New Roman"/>
          <w:szCs w:val="24"/>
        </w:rPr>
        <w:t>re</w:t>
      </w:r>
      <w:r>
        <w:rPr>
          <w:rFonts w:cs="Times New Roman"/>
          <w:szCs w:val="24"/>
        </w:rPr>
        <w:t xml:space="preserve">sourcing and technical issues associated with the log. Data in the log will be used to develop monthly metrics and reporting to management, developed by </w:t>
      </w:r>
      <w:proofErr w:type="gramStart"/>
      <w:r>
        <w:rPr>
          <w:rFonts w:cs="Times New Roman"/>
          <w:szCs w:val="24"/>
        </w:rPr>
        <w:t>E&amp;I</w:t>
      </w:r>
      <w:proofErr w:type="gramEnd"/>
      <w:r>
        <w:rPr>
          <w:rFonts w:cs="Times New Roman"/>
          <w:szCs w:val="24"/>
        </w:rPr>
        <w:t>.  DIAL is the official source for tracking credit union derivatives authority.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>
        <w:rPr>
          <w:rFonts w:cs="Times New Roman"/>
          <w:szCs w:val="24"/>
        </w:rPr>
        <w:t>A sample of the log appears below. E&amp;I will assess the log and make process improvements in consultation with field offices.</w:t>
      </w:r>
    </w:p>
    <w:p w:rsidR="005362B0" w:rsidRDefault="005362B0" w:rsidP="005362B0">
      <w:pPr>
        <w:rPr>
          <w:rFonts w:cs="Times New Roman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1260"/>
        <w:gridCol w:w="5080"/>
        <w:gridCol w:w="2282"/>
      </w:tblGrid>
      <w:tr w:rsidR="005362B0" w:rsidRPr="00C54EB1" w:rsidTr="00133DBF">
        <w:trPr>
          <w:trHeight w:val="1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  <w:szCs w:val="3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  <w:szCs w:val="32"/>
              </w:rPr>
              <w:t>Derivatives Information Administration Log ("DIAL")</w:t>
            </w:r>
          </w:p>
        </w:tc>
      </w:tr>
      <w:tr w:rsidR="005362B0" w:rsidRPr="00C54EB1" w:rsidTr="00133DBF">
        <w:trPr>
          <w:trHeight w:val="312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  <w:t>Office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  <w:t>Data Element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Cs w:val="24"/>
              </w:rPr>
              <w:t>Sample Entry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Credit Union</w:t>
            </w: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br/>
              <w:t>Data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Credit union name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ABC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Credit union charter number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1234576</w:t>
            </w:r>
          </w:p>
        </w:tc>
      </w:tr>
      <w:tr w:rsidR="005362B0" w:rsidRPr="00C54EB1" w:rsidTr="00133DBF">
        <w:trPr>
          <w:trHeight w:val="315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Federal Credit Union (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) </w:t>
            </w: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Application</w:t>
            </w: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or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FISCU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Notification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Application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Derivative log number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Example #1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Cs w:val="24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Cs w:val="24"/>
              </w:rPr>
              <w:t> 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  <w:tc>
          <w:tcPr>
            <w:tcW w:w="2613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Regional Log </w:t>
            </w: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br/>
              <w:t>Information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Region number or ONES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Region #1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Field staff that received the documentation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Abraham Lincoln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Date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application or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FISCU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notification received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2/1/14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application received for which approval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Interim Approval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Date due back to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(60 or 120 days)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4/1/14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Is this the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FCU's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first application for derivative authority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Date of previous application, if previously declined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Is this an application for additional products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NO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Is credit union a pilot program member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NO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For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FISCU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, is this new activity or already approved to use derivatives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New Authority</w:t>
            </w:r>
          </w:p>
        </w:tc>
      </w:tr>
    </w:tbl>
    <w:p w:rsidR="0097585C" w:rsidRDefault="0097585C" w:rsidP="005362B0"/>
    <w:p w:rsidR="0097585C" w:rsidRDefault="0097585C">
      <w:pPr>
        <w:spacing w:after="120" w:line="276" w:lineRule="auto"/>
      </w:pPr>
      <w:r>
        <w:br w:type="page"/>
      </w:r>
    </w:p>
    <w:p w:rsidR="005362B0" w:rsidRDefault="005362B0" w:rsidP="005362B0">
      <w:bookmarkStart w:id="5" w:name="_GoBack"/>
      <w:bookmarkEnd w:id="5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1260"/>
        <w:gridCol w:w="5080"/>
        <w:gridCol w:w="2282"/>
      </w:tblGrid>
      <w:tr w:rsidR="005362B0" w:rsidRPr="00C54EB1" w:rsidTr="00133DBF">
        <w:trPr>
          <w:trHeight w:val="289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textDirection w:val="btLr"/>
            <w:vAlign w:val="center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</w:t>
            </w: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br/>
              <w:t>Complete-ness</w:t>
            </w:r>
          </w:p>
        </w:tc>
        <w:tc>
          <w:tcPr>
            <w:tcW w:w="2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Field office application reviewer: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Mary Todd Lincoln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Date field office eligibility review completed (safety and soundness)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2/6/14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If final application, is application a follow-up to interim approval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Date of interim approval, if previously approved (if applicable)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Completeness review deadline (10 days)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2/11/14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Outcome of field office assessment for eligibility and safety and soundness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Complete - moving to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CMSs</w:t>
            </w:r>
            <w:proofErr w:type="spellEnd"/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If incomplete application, date of notification back to credit union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613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Products </w:t>
            </w: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br/>
              <w:t xml:space="preserve">Requested 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Interest rate swaps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Basis swaps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Interest rate caps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Interest rate floors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Interest rate futures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Notional amortizations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YES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Swap forward start dates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NO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613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CMS Process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RCMS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staff assigned (name)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George Washington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Date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RCMS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assigned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2/8/14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E&amp;I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SCMS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staff assigned (name)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James Monroe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E&amp;I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Date </w:t>
            </w: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SCMS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assigned (name)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2/8/14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E&amp;I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On-site review date (if applicable)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N/A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Review Panel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Deadline for Review back to FD (60 or 120 days from receipt)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4/1/14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Review Panel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Date review completed and communicated to field director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3/31/14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Review Panel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CMS recommendation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Approved - recommendation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613" w:type="pct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 </w:t>
            </w:r>
          </w:p>
        </w:tc>
      </w:tr>
    </w:tbl>
    <w:p w:rsidR="0097585C" w:rsidRDefault="0097585C" w:rsidP="005362B0"/>
    <w:p w:rsidR="0097585C" w:rsidRDefault="0097585C">
      <w:pPr>
        <w:spacing w:after="120" w:line="276" w:lineRule="auto"/>
      </w:pPr>
      <w:r>
        <w:br w:type="page"/>
      </w:r>
    </w:p>
    <w:p w:rsidR="005362B0" w:rsidRDefault="005362B0" w:rsidP="005362B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1260"/>
        <w:gridCol w:w="5080"/>
        <w:gridCol w:w="2282"/>
      </w:tblGrid>
      <w:tr w:rsidR="005362B0" w:rsidRPr="00C54EB1" w:rsidTr="00133DBF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extDirection w:val="btLr"/>
            <w:vAlign w:val="center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Documentation Archive</w:t>
            </w:r>
          </w:p>
        </w:tc>
        <w:tc>
          <w:tcPr>
            <w:tcW w:w="2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Folder on SharePoint for credit union setup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application documents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FISCU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Notification Documents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Field Office Completeness Review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Derivatives Interim Application Acknowledgment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Derivatives Final Application Acknowledgment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Notice of Incomplete Derivatives Application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Notice of Denied Derivatives Application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206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Review Panel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FCU</w:t>
            </w:r>
            <w:proofErr w:type="spellEnd"/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CMS Review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Review Panel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Memo from CMS to field director with recommendation 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Field director memo to credit union - notice of interim derivatives approval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Field director memo to credit union - notice of final derivatives approval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Field Office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Memo to credit union - acknowledgement of derivatives appeal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tr w:rsidR="005362B0" w:rsidRPr="00C54EB1" w:rsidTr="00133DBF">
        <w:trPr>
          <w:trHeight w:val="300"/>
        </w:trPr>
        <w:tc>
          <w:tcPr>
            <w:tcW w:w="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16"/>
                <w:szCs w:val="16"/>
              </w:rPr>
              <w:t>Varies</w:t>
            </w:r>
          </w:p>
        </w:tc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2B0" w:rsidRPr="00561259" w:rsidRDefault="005362B0" w:rsidP="00133DBF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Other documents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362B0" w:rsidRPr="00561259" w:rsidRDefault="005362B0" w:rsidP="00133DBF">
            <w:pPr>
              <w:spacing w:before="100" w:beforeAutospacing="1" w:afterAutospacing="1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561259">
              <w:rPr>
                <w:rFonts w:asciiTheme="minorHAnsi" w:eastAsia="Times New Roman" w:hAnsiTheme="minorHAnsi" w:cs="Arial"/>
                <w:color w:val="000000"/>
                <w:sz w:val="22"/>
              </w:rPr>
              <w:t>(Subfolder Name)</w:t>
            </w:r>
          </w:p>
        </w:tc>
      </w:tr>
      <w:bookmarkEnd w:id="0"/>
      <w:bookmarkEnd w:id="1"/>
      <w:bookmarkEnd w:id="2"/>
      <w:bookmarkEnd w:id="3"/>
      <w:bookmarkEnd w:id="4"/>
    </w:tbl>
    <w:p w:rsidR="005362B0" w:rsidRDefault="005362B0" w:rsidP="00EB27AB">
      <w:pPr>
        <w:rPr>
          <w:rFonts w:cs="Times New Roman"/>
          <w:szCs w:val="24"/>
        </w:rPr>
      </w:pPr>
    </w:p>
    <w:sectPr w:rsidR="005362B0" w:rsidSect="00D14EC3">
      <w:headerReference w:type="default" r:id="rId15"/>
      <w:headerReference w:type="first" r:id="rId16"/>
      <w:pgSz w:w="12240" w:h="15840"/>
      <w:pgMar w:top="1296" w:right="1296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76E" w:rsidRDefault="0058076E" w:rsidP="00003698">
      <w:r>
        <w:separator/>
      </w:r>
    </w:p>
  </w:endnote>
  <w:endnote w:type="continuationSeparator" w:id="0">
    <w:p w:rsidR="0058076E" w:rsidRDefault="0058076E" w:rsidP="00003698">
      <w:r>
        <w:continuationSeparator/>
      </w:r>
    </w:p>
  </w:endnote>
  <w:endnote w:type="continuationNotice" w:id="1">
    <w:p w:rsidR="0058076E" w:rsidRDefault="00580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76E" w:rsidRDefault="0058076E" w:rsidP="00003698">
      <w:r>
        <w:separator/>
      </w:r>
    </w:p>
  </w:footnote>
  <w:footnote w:type="continuationSeparator" w:id="0">
    <w:p w:rsidR="0058076E" w:rsidRDefault="0058076E" w:rsidP="00003698">
      <w:r>
        <w:continuationSeparator/>
      </w:r>
    </w:p>
  </w:footnote>
  <w:footnote w:type="continuationNotice" w:id="1">
    <w:p w:rsidR="0058076E" w:rsidRDefault="005807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BBD" w:rsidRDefault="00110BBD" w:rsidP="00110BBD">
    <w:pPr>
      <w:pStyle w:val="Heading1"/>
      <w:jc w:val="center"/>
    </w:pPr>
    <w:r w:rsidRPr="00110BBD">
      <w:t>Derivatives Information Administration Log (DIAL)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85C" w:rsidRPr="00110BBD" w:rsidRDefault="0097585C" w:rsidP="00110BBD">
    <w:pPr>
      <w:pStyle w:val="Heading1"/>
      <w:jc w:val="center"/>
    </w:pPr>
    <w:bookmarkStart w:id="6" w:name="_Toc410730889"/>
    <w:bookmarkStart w:id="7" w:name="_Toc410730897"/>
    <w:bookmarkStart w:id="8" w:name="_Toc374716029"/>
    <w:bookmarkStart w:id="9" w:name="_Toc378338633"/>
    <w:bookmarkStart w:id="10" w:name="app7b"/>
    <w:bookmarkStart w:id="11" w:name="_Toc350243861"/>
    <w:bookmarkStart w:id="12" w:name="_Toc391300652"/>
    <w:bookmarkStart w:id="13" w:name="_Toc410730902"/>
    <w:r w:rsidRPr="00110BBD">
      <w:t>Derivatives Information Administration Log (DIAL)</w:t>
    </w:r>
  </w:p>
  <w:bookmarkEnd w:id="6"/>
  <w:bookmarkEnd w:id="7"/>
  <w:bookmarkEnd w:id="8"/>
  <w:bookmarkEnd w:id="9"/>
  <w:bookmarkEnd w:id="10"/>
  <w:bookmarkEnd w:id="11"/>
  <w:bookmarkEnd w:id="12"/>
  <w:bookmarkEnd w:id="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148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0BBD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76E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85C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7F5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7AB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AD00CAC-F0F7-4896-88A6-B6E9B0F34D3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6AFFC3D-5F9E-4BD1-933C-67A5EC77E6C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A8DD3BF-222F-4153-9413-F43749FB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2015-02-03T21:11:00Z</dcterms:created>
  <dcterms:modified xsi:type="dcterms:W3CDTF">2015-02-12T20:31:00Z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