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3D9" w:rsidRDefault="00610529" w:rsidP="00AF23D9">
      <w:pPr>
        <w:pStyle w:val="Heading1"/>
        <w:tabs>
          <w:tab w:val="left" w:pos="2160"/>
        </w:tabs>
        <w:spacing w:before="0" w:after="0"/>
        <w:contextualSpacing w:val="0"/>
        <w:jc w:val="center"/>
        <w:rPr>
          <w:rFonts w:ascii="Times New Roman" w:hAnsi="Times New Roman" w:cs="Times New Roman"/>
        </w:rPr>
      </w:pPr>
      <w:r w:rsidRPr="00D03ED3">
        <w:rPr>
          <w:rFonts w:ascii="Times New Roman" w:hAnsi="Times New Roman" w:cs="Times New Roman"/>
        </w:rPr>
        <w:t>Fraud Discove</w:t>
      </w:r>
      <w:bookmarkStart w:id="0" w:name="_GoBack"/>
      <w:bookmarkEnd w:id="0"/>
      <w:r w:rsidRPr="00D03ED3">
        <w:rPr>
          <w:rFonts w:ascii="Times New Roman" w:hAnsi="Times New Roman" w:cs="Times New Roman"/>
        </w:rPr>
        <w:t>ry Checklist</w:t>
      </w:r>
      <w:r w:rsidR="00717D11">
        <w:rPr>
          <w:rFonts w:ascii="Times New Roman" w:hAnsi="Times New Roman" w:cs="Times New Roman"/>
        </w:rPr>
        <w:t xml:space="preserve"> for</w:t>
      </w:r>
    </w:p>
    <w:p w:rsidR="00610529" w:rsidRPr="00D03ED3" w:rsidRDefault="00717D11" w:rsidP="00610529">
      <w:pPr>
        <w:pStyle w:val="Heading1"/>
        <w:tabs>
          <w:tab w:val="left" w:pos="2160"/>
        </w:tabs>
        <w:spacing w:before="0"/>
        <w:contextualSpacing w:val="0"/>
        <w:jc w:val="center"/>
        <w:rPr>
          <w:rFonts w:ascii="Times New Roman" w:hAnsi="Times New Roman" w:cs="Times New Roman"/>
        </w:rPr>
      </w:pPr>
      <w:r w:rsidRPr="00D03ED3">
        <w:rPr>
          <w:rFonts w:ascii="Times New Roman" w:hAnsi="Times New Roman" w:cs="Times New Roman"/>
        </w:rPr>
        <w:t xml:space="preserve">Credit Union </w:t>
      </w:r>
      <w:r>
        <w:rPr>
          <w:rFonts w:ascii="Times New Roman" w:hAnsi="Times New Roman" w:cs="Times New Roman"/>
        </w:rPr>
        <w:t>Board of Director</w:t>
      </w:r>
      <w:r>
        <w:rPr>
          <w:rFonts w:ascii="Times New Roman" w:hAnsi="Times New Roman" w:cs="Times New Roman"/>
        </w:rPr>
        <w:t>s</w:t>
      </w:r>
    </w:p>
    <w:p w:rsidR="00610529" w:rsidRDefault="00610529" w:rsidP="00610529">
      <w:pPr>
        <w:spacing w:after="240"/>
        <w:contextualSpacing w:val="0"/>
      </w:pPr>
      <w:r>
        <w:t xml:space="preserve">Fraud can be committed in any department of the credit union and by anyone from a teller to a board member, or even collusion between a group of employees or board members.  Officials should keep this in mind as they begin to act on a suspicion of fraud.  The following checklist will assist officials upon discovery of a fraud.  This checklist is provided for guidance only and should not be construed as all-encompassing for actions needed on the part of Credit Union Officials upon fraud discovery. Prior to beginning the outlined tasks read the entire checklist. </w:t>
      </w: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5"/>
        <w:gridCol w:w="1080"/>
        <w:gridCol w:w="1080"/>
        <w:gridCol w:w="2520"/>
      </w:tblGrid>
      <w:tr w:rsidR="00610529" w:rsidRPr="00064431" w:rsidTr="008170E5">
        <w:trPr>
          <w:trHeight w:val="300"/>
        </w:trPr>
        <w:tc>
          <w:tcPr>
            <w:tcW w:w="5215" w:type="dxa"/>
            <w:shd w:val="clear" w:color="auto" w:fill="D5DCE4" w:themeFill="text2" w:themeFillTint="33"/>
            <w:vAlign w:val="center"/>
          </w:tcPr>
          <w:p w:rsidR="00610529" w:rsidRPr="00064431" w:rsidRDefault="00610529" w:rsidP="008170E5">
            <w:pPr>
              <w:spacing w:after="240" w:line="259" w:lineRule="auto"/>
              <w:ind w:left="360"/>
              <w:contextualSpacing w:val="0"/>
              <w:jc w:val="center"/>
              <w:rPr>
                <w:sz w:val="22"/>
              </w:rPr>
            </w:pPr>
            <w:r w:rsidRPr="00064431">
              <w:rPr>
                <w:sz w:val="22"/>
              </w:rPr>
              <w:t>Tasks</w:t>
            </w:r>
          </w:p>
        </w:tc>
        <w:tc>
          <w:tcPr>
            <w:tcW w:w="1080" w:type="dxa"/>
            <w:shd w:val="clear" w:color="auto" w:fill="D5DCE4" w:themeFill="text2" w:themeFillTint="33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jc w:val="center"/>
              <w:rPr>
                <w:sz w:val="22"/>
              </w:rPr>
            </w:pPr>
            <w:r w:rsidRPr="00064431">
              <w:rPr>
                <w:sz w:val="22"/>
              </w:rPr>
              <w:t>Initials</w:t>
            </w:r>
          </w:p>
        </w:tc>
        <w:tc>
          <w:tcPr>
            <w:tcW w:w="1080" w:type="dxa"/>
            <w:shd w:val="clear" w:color="auto" w:fill="D5DCE4" w:themeFill="text2" w:themeFillTint="33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jc w:val="center"/>
              <w:rPr>
                <w:sz w:val="22"/>
              </w:rPr>
            </w:pPr>
            <w:r w:rsidRPr="00064431">
              <w:rPr>
                <w:sz w:val="22"/>
              </w:rPr>
              <w:t>Date</w:t>
            </w:r>
          </w:p>
        </w:tc>
        <w:tc>
          <w:tcPr>
            <w:tcW w:w="2520" w:type="dxa"/>
            <w:shd w:val="clear" w:color="auto" w:fill="D5DCE4" w:themeFill="text2" w:themeFillTint="33"/>
          </w:tcPr>
          <w:p w:rsidR="00610529" w:rsidRPr="00064431" w:rsidRDefault="00610529" w:rsidP="008170E5">
            <w:pPr>
              <w:spacing w:after="240"/>
              <w:contextualSpacing w:val="0"/>
              <w:jc w:val="center"/>
              <w:rPr>
                <w:sz w:val="22"/>
              </w:rPr>
            </w:pPr>
            <w:r w:rsidRPr="00064431">
              <w:rPr>
                <w:sz w:val="22"/>
              </w:rPr>
              <w:t>Comments</w:t>
            </w:r>
          </w:p>
        </w:tc>
      </w:tr>
      <w:tr w:rsidR="00610529" w:rsidRPr="00064431" w:rsidTr="008170E5">
        <w:trPr>
          <w:trHeight w:val="300"/>
        </w:trPr>
        <w:tc>
          <w:tcPr>
            <w:tcW w:w="5215" w:type="dxa"/>
            <w:shd w:val="clear" w:color="auto" w:fill="auto"/>
            <w:vAlign w:val="center"/>
          </w:tcPr>
          <w:p w:rsidR="00610529" w:rsidRPr="00064431" w:rsidRDefault="00610529" w:rsidP="00610529">
            <w:pPr>
              <w:numPr>
                <w:ilvl w:val="0"/>
                <w:numId w:val="1"/>
              </w:numPr>
              <w:spacing w:after="240" w:line="259" w:lineRule="auto"/>
              <w:contextualSpacing w:val="0"/>
              <w:rPr>
                <w:sz w:val="22"/>
              </w:rPr>
            </w:pPr>
            <w:r w:rsidRPr="00064431">
              <w:rPr>
                <w:sz w:val="22"/>
              </w:rPr>
              <w:t>Contact the credit union’s legal counsel for advice on how to proceed.</w:t>
            </w:r>
          </w:p>
        </w:tc>
        <w:tc>
          <w:tcPr>
            <w:tcW w:w="1080" w:type="dxa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2520" w:type="dxa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</w:tr>
      <w:tr w:rsidR="00610529" w:rsidRPr="00064431" w:rsidTr="008170E5">
        <w:trPr>
          <w:trHeight w:val="300"/>
        </w:trPr>
        <w:tc>
          <w:tcPr>
            <w:tcW w:w="5215" w:type="dxa"/>
            <w:shd w:val="clear" w:color="auto" w:fill="auto"/>
            <w:vAlign w:val="center"/>
          </w:tcPr>
          <w:p w:rsidR="00610529" w:rsidRPr="00064431" w:rsidRDefault="00610529" w:rsidP="00610529">
            <w:pPr>
              <w:numPr>
                <w:ilvl w:val="0"/>
                <w:numId w:val="1"/>
              </w:numPr>
              <w:spacing w:after="240" w:line="259" w:lineRule="auto"/>
              <w:contextualSpacing w:val="0"/>
              <w:rPr>
                <w:sz w:val="22"/>
              </w:rPr>
            </w:pPr>
            <w:r>
              <w:rPr>
                <w:sz w:val="22"/>
              </w:rPr>
              <w:t xml:space="preserve">Contact the credit union’s NCUA examiner and state regulator, if applicable. </w:t>
            </w:r>
          </w:p>
        </w:tc>
        <w:tc>
          <w:tcPr>
            <w:tcW w:w="1080" w:type="dxa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2520" w:type="dxa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</w:tr>
      <w:tr w:rsidR="00610529" w:rsidRPr="00064431" w:rsidTr="008170E5">
        <w:trPr>
          <w:trHeight w:val="300"/>
        </w:trPr>
        <w:tc>
          <w:tcPr>
            <w:tcW w:w="5215" w:type="dxa"/>
            <w:shd w:val="clear" w:color="auto" w:fill="auto"/>
            <w:vAlign w:val="center"/>
            <w:hideMark/>
          </w:tcPr>
          <w:p w:rsidR="00610529" w:rsidRPr="00064431" w:rsidRDefault="00610529" w:rsidP="00610529">
            <w:pPr>
              <w:numPr>
                <w:ilvl w:val="0"/>
                <w:numId w:val="1"/>
              </w:numPr>
              <w:spacing w:after="240" w:line="259" w:lineRule="auto"/>
              <w:contextualSpacing w:val="0"/>
              <w:rPr>
                <w:sz w:val="22"/>
              </w:rPr>
            </w:pPr>
            <w:r w:rsidRPr="00064431">
              <w:rPr>
                <w:sz w:val="22"/>
              </w:rPr>
              <w:t>Control access of the involved personnel</w:t>
            </w:r>
            <w:r>
              <w:rPr>
                <w:sz w:val="22"/>
              </w:rPr>
              <w:t>:</w:t>
            </w:r>
            <w:r>
              <w:rPr>
                <w:rStyle w:val="FootnoteReference"/>
                <w:sz w:val="22"/>
              </w:rPr>
              <w:footnoteReference w:id="1"/>
            </w:r>
          </w:p>
        </w:tc>
        <w:tc>
          <w:tcPr>
            <w:tcW w:w="1080" w:type="dxa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2520" w:type="dxa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</w:tr>
      <w:tr w:rsidR="00610529" w:rsidRPr="00064431" w:rsidTr="008170E5">
        <w:trPr>
          <w:trHeight w:val="1052"/>
        </w:trPr>
        <w:tc>
          <w:tcPr>
            <w:tcW w:w="5215" w:type="dxa"/>
            <w:shd w:val="clear" w:color="auto" w:fill="auto"/>
            <w:vAlign w:val="center"/>
            <w:hideMark/>
          </w:tcPr>
          <w:p w:rsidR="00610529" w:rsidRPr="00064431" w:rsidRDefault="00610529" w:rsidP="00610529">
            <w:pPr>
              <w:numPr>
                <w:ilvl w:val="1"/>
                <w:numId w:val="1"/>
              </w:numPr>
              <w:spacing w:after="240" w:line="259" w:lineRule="auto"/>
              <w:contextualSpacing w:val="0"/>
              <w:rPr>
                <w:sz w:val="22"/>
              </w:rPr>
            </w:pPr>
            <w:r w:rsidRPr="00064431">
              <w:rPr>
                <w:sz w:val="22"/>
              </w:rPr>
              <w:t>Obtain keys and passwords from the individual(s).  Request Fed tokens, security codes, user names and passwords, and vendor contact information.  If the individual(s) is not cooperative, void authorization access.</w:t>
            </w:r>
            <w:r w:rsidRPr="00064431">
              <w:rPr>
                <w:sz w:val="22"/>
                <w:vertAlign w:val="superscript"/>
              </w:rPr>
              <w:footnoteReference w:id="2"/>
            </w:r>
          </w:p>
        </w:tc>
        <w:tc>
          <w:tcPr>
            <w:tcW w:w="1080" w:type="dxa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2520" w:type="dxa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</w:tr>
      <w:tr w:rsidR="00610529" w:rsidRPr="00064431" w:rsidTr="008170E5">
        <w:trPr>
          <w:trHeight w:val="242"/>
        </w:trPr>
        <w:tc>
          <w:tcPr>
            <w:tcW w:w="5215" w:type="dxa"/>
            <w:shd w:val="clear" w:color="auto" w:fill="auto"/>
            <w:vAlign w:val="center"/>
          </w:tcPr>
          <w:p w:rsidR="00610529" w:rsidRPr="00064431" w:rsidRDefault="00610529" w:rsidP="00610529">
            <w:pPr>
              <w:numPr>
                <w:ilvl w:val="1"/>
                <w:numId w:val="1"/>
              </w:numPr>
              <w:spacing w:after="240" w:line="259" w:lineRule="auto"/>
              <w:contextualSpacing w:val="0"/>
              <w:rPr>
                <w:sz w:val="22"/>
              </w:rPr>
            </w:pPr>
            <w:r w:rsidRPr="00064431">
              <w:rPr>
                <w:sz w:val="22"/>
              </w:rPr>
              <w:t>Revoke remote access to credit union systems.</w:t>
            </w:r>
          </w:p>
        </w:tc>
        <w:tc>
          <w:tcPr>
            <w:tcW w:w="1080" w:type="dxa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2520" w:type="dxa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</w:tr>
      <w:tr w:rsidR="00610529" w:rsidRPr="00064431" w:rsidTr="008170E5">
        <w:trPr>
          <w:trHeight w:val="242"/>
        </w:trPr>
        <w:tc>
          <w:tcPr>
            <w:tcW w:w="5215" w:type="dxa"/>
            <w:shd w:val="clear" w:color="auto" w:fill="auto"/>
            <w:vAlign w:val="center"/>
            <w:hideMark/>
          </w:tcPr>
          <w:p w:rsidR="00610529" w:rsidRPr="00064431" w:rsidRDefault="00610529" w:rsidP="00610529">
            <w:pPr>
              <w:numPr>
                <w:ilvl w:val="1"/>
                <w:numId w:val="1"/>
              </w:numPr>
              <w:spacing w:after="240" w:line="259" w:lineRule="auto"/>
              <w:contextualSpacing w:val="0"/>
              <w:rPr>
                <w:sz w:val="22"/>
              </w:rPr>
            </w:pPr>
            <w:r w:rsidRPr="00064431">
              <w:rPr>
                <w:sz w:val="22"/>
              </w:rPr>
              <w:t>Re-key locks on doors, disable electronic badge access, and change alarm and camera codes.</w:t>
            </w:r>
            <w:r>
              <w:rPr>
                <w:sz w:val="22"/>
              </w:rPr>
              <w:t xml:space="preserve"> If the building is leased, notify the </w:t>
            </w:r>
            <w:r>
              <w:rPr>
                <w:sz w:val="22"/>
              </w:rPr>
              <w:lastRenderedPageBreak/>
              <w:t xml:space="preserve">building management of re-keyed door locks. </w:t>
            </w:r>
          </w:p>
        </w:tc>
        <w:tc>
          <w:tcPr>
            <w:tcW w:w="1080" w:type="dxa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2520" w:type="dxa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</w:tr>
      <w:tr w:rsidR="00610529" w:rsidRPr="00064431" w:rsidTr="008170E5">
        <w:trPr>
          <w:trHeight w:val="278"/>
        </w:trPr>
        <w:tc>
          <w:tcPr>
            <w:tcW w:w="5215" w:type="dxa"/>
            <w:shd w:val="clear" w:color="auto" w:fill="auto"/>
            <w:vAlign w:val="center"/>
            <w:hideMark/>
          </w:tcPr>
          <w:p w:rsidR="00610529" w:rsidRPr="00064431" w:rsidRDefault="00610529" w:rsidP="00610529">
            <w:pPr>
              <w:numPr>
                <w:ilvl w:val="1"/>
                <w:numId w:val="1"/>
              </w:numPr>
              <w:spacing w:after="240" w:line="259" w:lineRule="auto"/>
              <w:contextualSpacing w:val="0"/>
              <w:rPr>
                <w:sz w:val="22"/>
              </w:rPr>
            </w:pPr>
            <w:r w:rsidRPr="00064431">
              <w:rPr>
                <w:sz w:val="22"/>
              </w:rPr>
              <w:t>Cha</w:t>
            </w:r>
            <w:r>
              <w:rPr>
                <w:sz w:val="22"/>
              </w:rPr>
              <w:t>nge computer system passwords.</w:t>
            </w:r>
          </w:p>
        </w:tc>
        <w:tc>
          <w:tcPr>
            <w:tcW w:w="1080" w:type="dxa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2520" w:type="dxa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</w:tr>
      <w:tr w:rsidR="00610529" w:rsidRPr="00064431" w:rsidTr="008170E5">
        <w:trPr>
          <w:trHeight w:val="578"/>
        </w:trPr>
        <w:tc>
          <w:tcPr>
            <w:tcW w:w="5215" w:type="dxa"/>
            <w:shd w:val="clear" w:color="auto" w:fill="auto"/>
            <w:vAlign w:val="center"/>
            <w:hideMark/>
          </w:tcPr>
          <w:p w:rsidR="00610529" w:rsidRPr="00064431" w:rsidRDefault="00610529" w:rsidP="00610529">
            <w:pPr>
              <w:numPr>
                <w:ilvl w:val="1"/>
                <w:numId w:val="1"/>
              </w:numPr>
              <w:spacing w:after="240" w:line="259" w:lineRule="auto"/>
              <w:contextualSpacing w:val="0"/>
              <w:rPr>
                <w:sz w:val="22"/>
              </w:rPr>
            </w:pPr>
            <w:r w:rsidRPr="00064431">
              <w:rPr>
                <w:sz w:val="22"/>
              </w:rPr>
              <w:t>Change signatories and wire authority on bank, Federal Reserve, investment</w:t>
            </w:r>
            <w:r>
              <w:rPr>
                <w:sz w:val="22"/>
              </w:rPr>
              <w:t>, safekeeping documents, custodian accounts</w:t>
            </w:r>
            <w:r w:rsidRPr="00064431">
              <w:rPr>
                <w:sz w:val="22"/>
              </w:rPr>
              <w:t xml:space="preserve"> and corporate credit union accounts, etc.</w:t>
            </w:r>
            <w:r w:rsidRPr="00064431">
              <w:rPr>
                <w:sz w:val="22"/>
                <w:vertAlign w:val="superscript"/>
              </w:rPr>
              <w:footnoteReference w:id="3"/>
            </w:r>
          </w:p>
        </w:tc>
        <w:tc>
          <w:tcPr>
            <w:tcW w:w="1080" w:type="dxa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2520" w:type="dxa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</w:tr>
      <w:tr w:rsidR="00610529" w:rsidRPr="00064431" w:rsidTr="008170E5">
        <w:trPr>
          <w:trHeight w:val="458"/>
        </w:trPr>
        <w:tc>
          <w:tcPr>
            <w:tcW w:w="5215" w:type="dxa"/>
            <w:shd w:val="clear" w:color="auto" w:fill="auto"/>
            <w:vAlign w:val="bottom"/>
            <w:hideMark/>
          </w:tcPr>
          <w:p w:rsidR="00610529" w:rsidRPr="00064431" w:rsidRDefault="00610529" w:rsidP="00610529">
            <w:pPr>
              <w:numPr>
                <w:ilvl w:val="1"/>
                <w:numId w:val="1"/>
              </w:numPr>
              <w:spacing w:after="240" w:line="259" w:lineRule="auto"/>
              <w:contextualSpacing w:val="0"/>
              <w:rPr>
                <w:sz w:val="22"/>
              </w:rPr>
            </w:pPr>
            <w:r w:rsidRPr="00064431">
              <w:rPr>
                <w:sz w:val="22"/>
              </w:rPr>
              <w:t>Obtain total control of any post office or mailboxes, night drops, ATMs, vault, teller drawers, etc.</w:t>
            </w:r>
            <w:r w:rsidRPr="00064431">
              <w:rPr>
                <w:sz w:val="22"/>
                <w:vertAlign w:val="superscript"/>
              </w:rPr>
              <w:footnoteReference w:id="4"/>
            </w:r>
          </w:p>
        </w:tc>
        <w:tc>
          <w:tcPr>
            <w:tcW w:w="1080" w:type="dxa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2520" w:type="dxa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</w:tr>
      <w:tr w:rsidR="00610529" w:rsidRPr="00064431" w:rsidTr="008170E5">
        <w:trPr>
          <w:trHeight w:val="1565"/>
        </w:trPr>
        <w:tc>
          <w:tcPr>
            <w:tcW w:w="5215" w:type="dxa"/>
            <w:shd w:val="clear" w:color="auto" w:fill="auto"/>
            <w:vAlign w:val="center"/>
            <w:hideMark/>
          </w:tcPr>
          <w:p w:rsidR="00610529" w:rsidRPr="00064431" w:rsidRDefault="00610529" w:rsidP="00610529">
            <w:pPr>
              <w:numPr>
                <w:ilvl w:val="1"/>
                <w:numId w:val="1"/>
              </w:numPr>
              <w:spacing w:after="240" w:line="259" w:lineRule="auto"/>
              <w:contextualSpacing w:val="0"/>
              <w:rPr>
                <w:sz w:val="22"/>
              </w:rPr>
            </w:pPr>
            <w:r w:rsidRPr="00064431">
              <w:rPr>
                <w:sz w:val="22"/>
              </w:rPr>
              <w:t>Notify third party vendors of the change in personnel.  Vendors to include initially:  ACH service provider, online banking provider, CUSO to support any electronic payment activity, post office box, security system provider, core system provider, and ATM network.</w:t>
            </w:r>
          </w:p>
        </w:tc>
        <w:tc>
          <w:tcPr>
            <w:tcW w:w="1080" w:type="dxa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2520" w:type="dxa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</w:tr>
      <w:tr w:rsidR="00610529" w:rsidRPr="00064431" w:rsidTr="008170E5">
        <w:trPr>
          <w:trHeight w:val="1160"/>
        </w:trPr>
        <w:tc>
          <w:tcPr>
            <w:tcW w:w="5215" w:type="dxa"/>
            <w:shd w:val="clear" w:color="auto" w:fill="auto"/>
            <w:vAlign w:val="center"/>
          </w:tcPr>
          <w:p w:rsidR="00610529" w:rsidRPr="00064431" w:rsidRDefault="00610529" w:rsidP="00610529">
            <w:pPr>
              <w:numPr>
                <w:ilvl w:val="1"/>
                <w:numId w:val="1"/>
              </w:numPr>
              <w:spacing w:after="240" w:line="259" w:lineRule="auto"/>
              <w:contextualSpacing w:val="0"/>
              <w:rPr>
                <w:sz w:val="22"/>
              </w:rPr>
            </w:pPr>
            <w:r w:rsidRPr="00064431">
              <w:rPr>
                <w:sz w:val="22"/>
              </w:rPr>
              <w:t>Ensure any saved footage from security cameras is secured and not subject to being overwritten.</w:t>
            </w:r>
          </w:p>
        </w:tc>
        <w:tc>
          <w:tcPr>
            <w:tcW w:w="1080" w:type="dxa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2520" w:type="dxa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</w:tr>
      <w:tr w:rsidR="00610529" w:rsidRPr="00064431" w:rsidTr="008170E5">
        <w:trPr>
          <w:trHeight w:val="1160"/>
        </w:trPr>
        <w:tc>
          <w:tcPr>
            <w:tcW w:w="5215" w:type="dxa"/>
            <w:shd w:val="clear" w:color="auto" w:fill="auto"/>
          </w:tcPr>
          <w:p w:rsidR="00610529" w:rsidRPr="00064431" w:rsidRDefault="00610529" w:rsidP="00610529">
            <w:pPr>
              <w:numPr>
                <w:ilvl w:val="1"/>
                <w:numId w:val="1"/>
              </w:numPr>
              <w:spacing w:after="240" w:line="259" w:lineRule="auto"/>
              <w:contextualSpacing w:val="0"/>
              <w:rPr>
                <w:sz w:val="22"/>
              </w:rPr>
            </w:pPr>
            <w:r w:rsidRPr="00064431">
              <w:rPr>
                <w:sz w:val="22"/>
              </w:rPr>
              <w:t>Secure credit union owned assets (</w:t>
            </w:r>
            <w:r>
              <w:rPr>
                <w:sz w:val="22"/>
              </w:rPr>
              <w:t>for example,</w:t>
            </w:r>
            <w:r w:rsidRPr="00064431">
              <w:rPr>
                <w:sz w:val="22"/>
              </w:rPr>
              <w:t xml:space="preserve"> cell phone, laptop, </w:t>
            </w:r>
            <w:proofErr w:type="gramStart"/>
            <w:r w:rsidRPr="00064431">
              <w:rPr>
                <w:sz w:val="22"/>
              </w:rPr>
              <w:t>vehicle</w:t>
            </w:r>
            <w:proofErr w:type="gramEnd"/>
            <w:r w:rsidRPr="00064431">
              <w:rPr>
                <w:sz w:val="22"/>
              </w:rPr>
              <w:t>) from the individual including items maintained offsite.</w:t>
            </w:r>
          </w:p>
        </w:tc>
        <w:tc>
          <w:tcPr>
            <w:tcW w:w="1080" w:type="dxa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1080" w:type="dxa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2520" w:type="dxa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</w:tr>
      <w:tr w:rsidR="00610529" w:rsidRPr="00064431" w:rsidTr="008170E5">
        <w:trPr>
          <w:trHeight w:val="557"/>
        </w:trPr>
        <w:tc>
          <w:tcPr>
            <w:tcW w:w="5215" w:type="dxa"/>
            <w:shd w:val="clear" w:color="auto" w:fill="auto"/>
            <w:vAlign w:val="center"/>
            <w:hideMark/>
          </w:tcPr>
          <w:p w:rsidR="00610529" w:rsidRPr="00064431" w:rsidRDefault="00610529" w:rsidP="00610529">
            <w:pPr>
              <w:numPr>
                <w:ilvl w:val="0"/>
                <w:numId w:val="1"/>
              </w:numPr>
              <w:spacing w:after="240" w:line="259" w:lineRule="auto"/>
              <w:contextualSpacing w:val="0"/>
              <w:rPr>
                <w:sz w:val="22"/>
              </w:rPr>
            </w:pPr>
            <w:r w:rsidRPr="00064431">
              <w:rPr>
                <w:sz w:val="22"/>
              </w:rPr>
              <w:t xml:space="preserve">After consulting with the credit union’s legal counsel, restrict access to involved </w:t>
            </w:r>
            <w:r w:rsidRPr="00064431">
              <w:rPr>
                <w:sz w:val="22"/>
              </w:rPr>
              <w:lastRenderedPageBreak/>
              <w:t>personnel’s credit union accounts including: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2520" w:type="dxa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</w:tr>
      <w:tr w:rsidR="00610529" w:rsidRPr="00064431" w:rsidTr="008170E5">
        <w:trPr>
          <w:trHeight w:val="332"/>
        </w:trPr>
        <w:tc>
          <w:tcPr>
            <w:tcW w:w="5215" w:type="dxa"/>
            <w:shd w:val="clear" w:color="auto" w:fill="auto"/>
            <w:vAlign w:val="center"/>
            <w:hideMark/>
          </w:tcPr>
          <w:p w:rsidR="00610529" w:rsidRPr="00064431" w:rsidRDefault="00610529" w:rsidP="00610529">
            <w:pPr>
              <w:numPr>
                <w:ilvl w:val="1"/>
                <w:numId w:val="1"/>
              </w:numPr>
              <w:spacing w:after="240" w:line="259" w:lineRule="auto"/>
              <w:contextualSpacing w:val="0"/>
              <w:rPr>
                <w:sz w:val="22"/>
              </w:rPr>
            </w:pPr>
            <w:r w:rsidRPr="00064431">
              <w:rPr>
                <w:sz w:val="22"/>
              </w:rPr>
              <w:t>Freezing accounts (primary and joint).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2520" w:type="dxa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</w:tr>
      <w:tr w:rsidR="00610529" w:rsidRPr="00064431" w:rsidTr="008170E5">
        <w:trPr>
          <w:trHeight w:val="278"/>
        </w:trPr>
        <w:tc>
          <w:tcPr>
            <w:tcW w:w="5215" w:type="dxa"/>
            <w:shd w:val="clear" w:color="auto" w:fill="auto"/>
            <w:vAlign w:val="center"/>
            <w:hideMark/>
          </w:tcPr>
          <w:p w:rsidR="00610529" w:rsidRPr="00064431" w:rsidRDefault="00610529" w:rsidP="00610529">
            <w:pPr>
              <w:numPr>
                <w:ilvl w:val="1"/>
                <w:numId w:val="1"/>
              </w:numPr>
              <w:spacing w:after="240" w:line="259" w:lineRule="auto"/>
              <w:contextualSpacing w:val="0"/>
              <w:rPr>
                <w:sz w:val="22"/>
              </w:rPr>
            </w:pPr>
            <w:r w:rsidRPr="00064431">
              <w:rPr>
                <w:sz w:val="22"/>
              </w:rPr>
              <w:t>Closing charge c</w:t>
            </w:r>
            <w:r>
              <w:rPr>
                <w:sz w:val="22"/>
              </w:rPr>
              <w:t>ards (personal and corporate).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2520" w:type="dxa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</w:tr>
      <w:tr w:rsidR="00610529" w:rsidRPr="00064431" w:rsidTr="008170E5">
        <w:trPr>
          <w:trHeight w:val="278"/>
        </w:trPr>
        <w:tc>
          <w:tcPr>
            <w:tcW w:w="5215" w:type="dxa"/>
            <w:shd w:val="clear" w:color="auto" w:fill="auto"/>
            <w:vAlign w:val="center"/>
            <w:hideMark/>
          </w:tcPr>
          <w:p w:rsidR="00610529" w:rsidRPr="00064431" w:rsidRDefault="00610529" w:rsidP="00610529">
            <w:pPr>
              <w:numPr>
                <w:ilvl w:val="1"/>
                <w:numId w:val="1"/>
              </w:numPr>
              <w:spacing w:after="240" w:line="259" w:lineRule="auto"/>
              <w:contextualSpacing w:val="0"/>
              <w:rPr>
                <w:sz w:val="22"/>
              </w:rPr>
            </w:pPr>
            <w:r w:rsidRPr="00064431">
              <w:rPr>
                <w:sz w:val="22"/>
              </w:rPr>
              <w:t>Restricting access to safe deposit boxes.</w:t>
            </w:r>
          </w:p>
        </w:tc>
        <w:tc>
          <w:tcPr>
            <w:tcW w:w="1080" w:type="dxa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2520" w:type="dxa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</w:tr>
      <w:tr w:rsidR="00610529" w:rsidRPr="00064431" w:rsidTr="008170E5">
        <w:trPr>
          <w:trHeight w:val="278"/>
        </w:trPr>
        <w:tc>
          <w:tcPr>
            <w:tcW w:w="5215" w:type="dxa"/>
            <w:shd w:val="clear" w:color="auto" w:fill="auto"/>
            <w:vAlign w:val="center"/>
          </w:tcPr>
          <w:p w:rsidR="00610529" w:rsidRPr="00064431" w:rsidRDefault="00610529" w:rsidP="00610529">
            <w:pPr>
              <w:pStyle w:val="ListParagraph"/>
              <w:keepNext/>
              <w:numPr>
                <w:ilvl w:val="0"/>
                <w:numId w:val="1"/>
              </w:numPr>
              <w:spacing w:after="240" w:line="259" w:lineRule="auto"/>
              <w:contextualSpacing w:val="0"/>
              <w:rPr>
                <w:sz w:val="22"/>
              </w:rPr>
            </w:pPr>
            <w:r w:rsidRPr="00064431">
              <w:rPr>
                <w:sz w:val="22"/>
              </w:rPr>
              <w:t>Perform review procedures</w:t>
            </w:r>
            <w:r>
              <w:rPr>
                <w:sz w:val="22"/>
              </w:rPr>
              <w:t xml:space="preserve"> to determine cash differences:</w:t>
            </w:r>
          </w:p>
        </w:tc>
        <w:tc>
          <w:tcPr>
            <w:tcW w:w="1080" w:type="dxa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2520" w:type="dxa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</w:tr>
      <w:tr w:rsidR="00610529" w:rsidRPr="00064431" w:rsidTr="008170E5">
        <w:trPr>
          <w:trHeight w:val="278"/>
        </w:trPr>
        <w:tc>
          <w:tcPr>
            <w:tcW w:w="5215" w:type="dxa"/>
            <w:shd w:val="clear" w:color="auto" w:fill="auto"/>
            <w:vAlign w:val="center"/>
          </w:tcPr>
          <w:p w:rsidR="00610529" w:rsidRPr="00064431" w:rsidRDefault="00610529" w:rsidP="00610529">
            <w:pPr>
              <w:numPr>
                <w:ilvl w:val="1"/>
                <w:numId w:val="1"/>
              </w:numPr>
              <w:spacing w:after="240" w:line="259" w:lineRule="auto"/>
              <w:contextualSpacing w:val="0"/>
              <w:rPr>
                <w:sz w:val="22"/>
              </w:rPr>
            </w:pPr>
            <w:r w:rsidRPr="00064431">
              <w:rPr>
                <w:sz w:val="22"/>
              </w:rPr>
              <w:t>Perform cash, vault, and ATM cash counts, under dual control.</w:t>
            </w:r>
          </w:p>
        </w:tc>
        <w:tc>
          <w:tcPr>
            <w:tcW w:w="1080" w:type="dxa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2520" w:type="dxa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</w:tr>
      <w:tr w:rsidR="00610529" w:rsidRPr="00064431" w:rsidTr="008170E5">
        <w:trPr>
          <w:trHeight w:val="278"/>
        </w:trPr>
        <w:tc>
          <w:tcPr>
            <w:tcW w:w="5215" w:type="dxa"/>
            <w:shd w:val="clear" w:color="auto" w:fill="auto"/>
            <w:vAlign w:val="center"/>
          </w:tcPr>
          <w:p w:rsidR="00610529" w:rsidRPr="00064431" w:rsidRDefault="00610529" w:rsidP="00610529">
            <w:pPr>
              <w:numPr>
                <w:ilvl w:val="1"/>
                <w:numId w:val="1"/>
              </w:numPr>
              <w:spacing w:after="240" w:line="259" w:lineRule="auto"/>
              <w:contextualSpacing w:val="0"/>
              <w:rPr>
                <w:sz w:val="22"/>
              </w:rPr>
            </w:pPr>
            <w:r w:rsidRPr="00064431">
              <w:rPr>
                <w:sz w:val="22"/>
              </w:rPr>
              <w:t>Account for teller/cashier checks, money orders, and negotiable instruments.</w:t>
            </w:r>
          </w:p>
        </w:tc>
        <w:tc>
          <w:tcPr>
            <w:tcW w:w="1080" w:type="dxa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2520" w:type="dxa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</w:tr>
      <w:tr w:rsidR="00610529" w:rsidRPr="00064431" w:rsidTr="008170E5">
        <w:trPr>
          <w:trHeight w:val="233"/>
        </w:trPr>
        <w:tc>
          <w:tcPr>
            <w:tcW w:w="5215" w:type="dxa"/>
            <w:shd w:val="clear" w:color="auto" w:fill="auto"/>
            <w:vAlign w:val="center"/>
          </w:tcPr>
          <w:p w:rsidR="00610529" w:rsidRPr="00064431" w:rsidRDefault="00610529" w:rsidP="00610529">
            <w:pPr>
              <w:numPr>
                <w:ilvl w:val="0"/>
                <w:numId w:val="1"/>
              </w:numPr>
              <w:spacing w:after="240" w:line="259" w:lineRule="auto"/>
              <w:contextualSpacing w:val="0"/>
              <w:rPr>
                <w:sz w:val="22"/>
              </w:rPr>
            </w:pPr>
            <w:r w:rsidRPr="00064431">
              <w:rPr>
                <w:sz w:val="22"/>
              </w:rPr>
              <w:t>Contact involved personnel:</w:t>
            </w:r>
          </w:p>
        </w:tc>
        <w:tc>
          <w:tcPr>
            <w:tcW w:w="1080" w:type="dxa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2520" w:type="dxa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</w:tr>
      <w:tr w:rsidR="00610529" w:rsidRPr="00064431" w:rsidTr="008170E5">
        <w:trPr>
          <w:trHeight w:val="300"/>
        </w:trPr>
        <w:tc>
          <w:tcPr>
            <w:tcW w:w="5215" w:type="dxa"/>
            <w:shd w:val="clear" w:color="auto" w:fill="auto"/>
            <w:vAlign w:val="center"/>
          </w:tcPr>
          <w:p w:rsidR="00610529" w:rsidRPr="00064431" w:rsidRDefault="00610529" w:rsidP="00610529">
            <w:pPr>
              <w:numPr>
                <w:ilvl w:val="1"/>
                <w:numId w:val="1"/>
              </w:numPr>
              <w:spacing w:after="240" w:line="259" w:lineRule="auto"/>
              <w:contextualSpacing w:val="0"/>
              <w:rPr>
                <w:sz w:val="22"/>
              </w:rPr>
            </w:pPr>
            <w:r w:rsidRPr="00064431">
              <w:rPr>
                <w:sz w:val="22"/>
              </w:rPr>
              <w:t>Interview the individual(s) to determine the information they will share.  You may want to have legal counsel present for the interview.  Be vague on the information found.  Do not give a possible dollar loss to involved personnel.</w:t>
            </w:r>
            <w:r w:rsidRPr="00064431">
              <w:rPr>
                <w:rStyle w:val="FootnoteReference"/>
                <w:sz w:val="22"/>
              </w:rPr>
              <w:footnoteReference w:id="5"/>
            </w:r>
          </w:p>
        </w:tc>
        <w:tc>
          <w:tcPr>
            <w:tcW w:w="1080" w:type="dxa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2520" w:type="dxa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</w:tr>
      <w:tr w:rsidR="00610529" w:rsidRPr="00064431" w:rsidTr="008170E5">
        <w:trPr>
          <w:trHeight w:val="600"/>
        </w:trPr>
        <w:tc>
          <w:tcPr>
            <w:tcW w:w="5215" w:type="dxa"/>
            <w:shd w:val="clear" w:color="auto" w:fill="auto"/>
            <w:vAlign w:val="center"/>
          </w:tcPr>
          <w:p w:rsidR="00610529" w:rsidRPr="00064431" w:rsidRDefault="00610529" w:rsidP="00610529">
            <w:pPr>
              <w:numPr>
                <w:ilvl w:val="1"/>
                <w:numId w:val="1"/>
              </w:numPr>
              <w:spacing w:after="240" w:line="259" w:lineRule="auto"/>
              <w:contextualSpacing w:val="0"/>
              <w:rPr>
                <w:sz w:val="22"/>
              </w:rPr>
            </w:pPr>
            <w:r w:rsidRPr="00064431">
              <w:rPr>
                <w:sz w:val="22"/>
              </w:rPr>
              <w:t>Suspend the personnel involved with pay until an investigation can be completed.  Determine if other employees should be suspended during the investigation.</w:t>
            </w:r>
            <w:r w:rsidRPr="00064431">
              <w:rPr>
                <w:rStyle w:val="FootnoteReference"/>
                <w:sz w:val="22"/>
              </w:rPr>
              <w:footnoteReference w:id="6"/>
            </w:r>
          </w:p>
        </w:tc>
        <w:tc>
          <w:tcPr>
            <w:tcW w:w="1080" w:type="dxa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2520" w:type="dxa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</w:tr>
      <w:tr w:rsidR="00610529" w:rsidRPr="00064431" w:rsidTr="008170E5">
        <w:trPr>
          <w:trHeight w:val="300"/>
        </w:trPr>
        <w:tc>
          <w:tcPr>
            <w:tcW w:w="5215" w:type="dxa"/>
            <w:shd w:val="clear" w:color="auto" w:fill="auto"/>
            <w:vAlign w:val="center"/>
          </w:tcPr>
          <w:p w:rsidR="00610529" w:rsidRPr="00064431" w:rsidRDefault="00610529" w:rsidP="00610529">
            <w:pPr>
              <w:numPr>
                <w:ilvl w:val="1"/>
                <w:numId w:val="1"/>
              </w:numPr>
              <w:spacing w:after="240" w:line="259" w:lineRule="auto"/>
              <w:contextualSpacing w:val="0"/>
              <w:rPr>
                <w:sz w:val="22"/>
              </w:rPr>
            </w:pPr>
            <w:r w:rsidRPr="00064431">
              <w:rPr>
                <w:sz w:val="22"/>
              </w:rPr>
              <w:t xml:space="preserve">Escort involved individual(s) out the door.  Do not leave involved personnel alone.  Advise them their personal possessions will be </w:t>
            </w:r>
            <w:r w:rsidRPr="00064431">
              <w:rPr>
                <w:sz w:val="22"/>
              </w:rPr>
              <w:lastRenderedPageBreak/>
              <w:t>inventoried and boxed up, and they will be contacted for pick up.</w:t>
            </w:r>
            <w:r w:rsidRPr="00064431">
              <w:rPr>
                <w:rStyle w:val="FootnoteReference"/>
                <w:sz w:val="22"/>
              </w:rPr>
              <w:footnoteReference w:id="7"/>
            </w:r>
          </w:p>
        </w:tc>
        <w:tc>
          <w:tcPr>
            <w:tcW w:w="1080" w:type="dxa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2520" w:type="dxa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</w:tr>
      <w:tr w:rsidR="00610529" w:rsidRPr="00064431" w:rsidTr="008170E5">
        <w:trPr>
          <w:trHeight w:val="323"/>
        </w:trPr>
        <w:tc>
          <w:tcPr>
            <w:tcW w:w="52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0529" w:rsidRPr="00064431" w:rsidRDefault="00610529" w:rsidP="00610529">
            <w:pPr>
              <w:pStyle w:val="ListParagraph"/>
              <w:numPr>
                <w:ilvl w:val="0"/>
                <w:numId w:val="1"/>
              </w:numPr>
              <w:spacing w:after="240" w:line="259" w:lineRule="auto"/>
              <w:contextualSpacing w:val="0"/>
              <w:rPr>
                <w:sz w:val="22"/>
              </w:rPr>
            </w:pPr>
            <w:r w:rsidRPr="00064431">
              <w:rPr>
                <w:sz w:val="22"/>
              </w:rPr>
              <w:t>Isolate and preserve all hard copy evidence.  Ensure originals are in “as-is” condition (do not</w:t>
            </w:r>
            <w:r>
              <w:rPr>
                <w:sz w:val="22"/>
              </w:rPr>
              <w:t xml:space="preserve"> write on or alter originals).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</w:tr>
      <w:tr w:rsidR="00610529" w:rsidRPr="00064431" w:rsidTr="008170E5">
        <w:trPr>
          <w:trHeight w:val="600"/>
        </w:trPr>
        <w:tc>
          <w:tcPr>
            <w:tcW w:w="521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610529" w:rsidRPr="00064431" w:rsidRDefault="00610529" w:rsidP="00610529">
            <w:pPr>
              <w:pStyle w:val="ListParagraph"/>
              <w:numPr>
                <w:ilvl w:val="0"/>
                <w:numId w:val="1"/>
              </w:numPr>
              <w:spacing w:after="240" w:line="259" w:lineRule="auto"/>
              <w:contextualSpacing w:val="0"/>
              <w:rPr>
                <w:sz w:val="22"/>
              </w:rPr>
            </w:pPr>
            <w:r w:rsidRPr="00064431">
              <w:rPr>
                <w:sz w:val="22"/>
              </w:rPr>
              <w:t xml:space="preserve">Depending on the individual's involvement in the credit union’s operations, fill the operational </w:t>
            </w:r>
            <w:r>
              <w:rPr>
                <w:sz w:val="22"/>
              </w:rPr>
              <w:t>void caused by the suspension.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2520" w:type="dxa"/>
            <w:tcBorders>
              <w:top w:val="single" w:sz="4" w:space="0" w:color="auto"/>
            </w:tcBorders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</w:tr>
      <w:tr w:rsidR="00610529" w:rsidRPr="00064431" w:rsidTr="008170E5">
        <w:trPr>
          <w:trHeight w:val="503"/>
        </w:trPr>
        <w:tc>
          <w:tcPr>
            <w:tcW w:w="5215" w:type="dxa"/>
            <w:shd w:val="clear" w:color="auto" w:fill="auto"/>
            <w:vAlign w:val="center"/>
            <w:hideMark/>
          </w:tcPr>
          <w:p w:rsidR="00610529" w:rsidRPr="00064431" w:rsidRDefault="00610529" w:rsidP="00610529">
            <w:pPr>
              <w:pStyle w:val="ListParagraph"/>
              <w:numPr>
                <w:ilvl w:val="0"/>
                <w:numId w:val="1"/>
              </w:numPr>
              <w:spacing w:after="240" w:line="259" w:lineRule="auto"/>
              <w:contextualSpacing w:val="0"/>
              <w:rPr>
                <w:sz w:val="22"/>
              </w:rPr>
            </w:pPr>
            <w:r w:rsidRPr="00064431">
              <w:rPr>
                <w:sz w:val="22"/>
              </w:rPr>
              <w:t>Contract a third party to complete a mirror image of affected computers and computer systems.</w:t>
            </w:r>
            <w:r w:rsidRPr="00064431">
              <w:rPr>
                <w:sz w:val="22"/>
                <w:vertAlign w:val="superscript"/>
              </w:rPr>
              <w:footnoteReference w:id="8"/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2520" w:type="dxa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</w:tr>
      <w:tr w:rsidR="00610529" w:rsidRPr="00064431" w:rsidTr="008170E5">
        <w:trPr>
          <w:trHeight w:val="800"/>
        </w:trPr>
        <w:tc>
          <w:tcPr>
            <w:tcW w:w="5215" w:type="dxa"/>
            <w:shd w:val="clear" w:color="auto" w:fill="auto"/>
            <w:vAlign w:val="center"/>
            <w:hideMark/>
          </w:tcPr>
          <w:p w:rsidR="00610529" w:rsidRPr="00064431" w:rsidRDefault="00610529" w:rsidP="00610529">
            <w:pPr>
              <w:pStyle w:val="ListParagraph"/>
              <w:numPr>
                <w:ilvl w:val="0"/>
                <w:numId w:val="1"/>
              </w:numPr>
              <w:spacing w:after="240" w:line="259" w:lineRule="auto"/>
              <w:contextualSpacing w:val="0"/>
              <w:rPr>
                <w:sz w:val="22"/>
              </w:rPr>
            </w:pPr>
            <w:r w:rsidRPr="00064431">
              <w:rPr>
                <w:sz w:val="22"/>
              </w:rPr>
              <w:t>Review bond contract to determine notification deadlines and notify bonding company of potential fraud.</w:t>
            </w:r>
            <w:r w:rsidRPr="00064431">
              <w:rPr>
                <w:sz w:val="22"/>
                <w:vertAlign w:val="superscript"/>
              </w:rPr>
              <w:footnoteReference w:id="9"/>
            </w:r>
            <w:r w:rsidRPr="00064431">
              <w:rPr>
                <w:sz w:val="22"/>
              </w:rPr>
              <w:t xml:space="preserve"> </w:t>
            </w:r>
          </w:p>
        </w:tc>
        <w:tc>
          <w:tcPr>
            <w:tcW w:w="1080" w:type="dxa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2520" w:type="dxa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</w:tr>
      <w:tr w:rsidR="00610529" w:rsidRPr="00064431" w:rsidTr="008170E5">
        <w:trPr>
          <w:trHeight w:val="260"/>
        </w:trPr>
        <w:tc>
          <w:tcPr>
            <w:tcW w:w="5215" w:type="dxa"/>
            <w:shd w:val="clear" w:color="auto" w:fill="auto"/>
            <w:vAlign w:val="center"/>
            <w:hideMark/>
          </w:tcPr>
          <w:p w:rsidR="00610529" w:rsidRPr="00064431" w:rsidRDefault="00610529" w:rsidP="00610529">
            <w:pPr>
              <w:pStyle w:val="ListParagraph"/>
              <w:numPr>
                <w:ilvl w:val="0"/>
                <w:numId w:val="1"/>
              </w:numPr>
              <w:spacing w:after="240" w:line="259" w:lineRule="auto"/>
              <w:contextualSpacing w:val="0"/>
              <w:rPr>
                <w:sz w:val="22"/>
              </w:rPr>
            </w:pPr>
            <w:r w:rsidRPr="00064431">
              <w:rPr>
                <w:sz w:val="22"/>
              </w:rPr>
              <w:t>Contact law enforcement.</w:t>
            </w:r>
          </w:p>
        </w:tc>
        <w:tc>
          <w:tcPr>
            <w:tcW w:w="1080" w:type="dxa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2520" w:type="dxa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</w:tr>
      <w:tr w:rsidR="00610529" w:rsidRPr="00064431" w:rsidTr="008170E5">
        <w:trPr>
          <w:trHeight w:val="260"/>
        </w:trPr>
        <w:tc>
          <w:tcPr>
            <w:tcW w:w="5215" w:type="dxa"/>
            <w:shd w:val="clear" w:color="auto" w:fill="auto"/>
            <w:vAlign w:val="center"/>
          </w:tcPr>
          <w:p w:rsidR="00610529" w:rsidRPr="00064431" w:rsidRDefault="00610529" w:rsidP="00610529">
            <w:pPr>
              <w:pStyle w:val="ListParagraph"/>
              <w:numPr>
                <w:ilvl w:val="0"/>
                <w:numId w:val="1"/>
              </w:numPr>
              <w:spacing w:after="240" w:line="259" w:lineRule="auto"/>
              <w:ind w:left="427" w:hanging="427"/>
              <w:contextualSpacing w:val="0"/>
              <w:rPr>
                <w:sz w:val="22"/>
              </w:rPr>
            </w:pPr>
            <w:r w:rsidRPr="00064431">
              <w:rPr>
                <w:sz w:val="22"/>
              </w:rPr>
              <w:t>Determine if a forensic audit is needed.</w:t>
            </w:r>
          </w:p>
        </w:tc>
        <w:tc>
          <w:tcPr>
            <w:tcW w:w="1080" w:type="dxa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2520" w:type="dxa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</w:tr>
      <w:tr w:rsidR="00610529" w:rsidRPr="00064431" w:rsidTr="008170E5">
        <w:trPr>
          <w:trHeight w:val="260"/>
        </w:trPr>
        <w:tc>
          <w:tcPr>
            <w:tcW w:w="5215" w:type="dxa"/>
            <w:shd w:val="clear" w:color="auto" w:fill="auto"/>
            <w:vAlign w:val="center"/>
          </w:tcPr>
          <w:p w:rsidR="00610529" w:rsidRPr="00064431" w:rsidRDefault="00610529" w:rsidP="00610529">
            <w:pPr>
              <w:pStyle w:val="ListParagraph"/>
              <w:numPr>
                <w:ilvl w:val="0"/>
                <w:numId w:val="1"/>
              </w:numPr>
              <w:spacing w:after="240" w:line="259" w:lineRule="auto"/>
              <w:contextualSpacing w:val="0"/>
              <w:rPr>
                <w:sz w:val="22"/>
              </w:rPr>
            </w:pPr>
            <w:r w:rsidRPr="00064431">
              <w:rPr>
                <w:sz w:val="22"/>
              </w:rPr>
              <w:t>Assign a media contact person and develop a message to address media questions.</w:t>
            </w:r>
          </w:p>
        </w:tc>
        <w:tc>
          <w:tcPr>
            <w:tcW w:w="1080" w:type="dxa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2520" w:type="dxa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</w:tr>
      <w:tr w:rsidR="00610529" w:rsidRPr="00064431" w:rsidTr="008170E5">
        <w:trPr>
          <w:trHeight w:val="323"/>
        </w:trPr>
        <w:tc>
          <w:tcPr>
            <w:tcW w:w="5215" w:type="dxa"/>
            <w:shd w:val="clear" w:color="auto" w:fill="auto"/>
            <w:vAlign w:val="center"/>
          </w:tcPr>
          <w:p w:rsidR="00610529" w:rsidRPr="00064431" w:rsidRDefault="00610529" w:rsidP="00610529">
            <w:pPr>
              <w:pStyle w:val="ListParagraph"/>
              <w:numPr>
                <w:ilvl w:val="0"/>
                <w:numId w:val="1"/>
              </w:numPr>
              <w:spacing w:after="240" w:line="259" w:lineRule="auto"/>
              <w:contextualSpacing w:val="0"/>
              <w:rPr>
                <w:bCs/>
                <w:sz w:val="22"/>
              </w:rPr>
            </w:pPr>
            <w:r w:rsidRPr="00064431">
              <w:rPr>
                <w:sz w:val="22"/>
              </w:rPr>
              <w:t>Inform staff.  Messaging to staff should include, at minimum, an emphasis on business as usual, how to respond to member questions, maintaining confidentiality and no comments on social media.</w:t>
            </w:r>
          </w:p>
        </w:tc>
        <w:tc>
          <w:tcPr>
            <w:tcW w:w="1080" w:type="dxa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2520" w:type="dxa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</w:tr>
      <w:tr w:rsidR="00610529" w:rsidRPr="00064431" w:rsidTr="008170E5">
        <w:trPr>
          <w:trHeight w:val="557"/>
        </w:trPr>
        <w:tc>
          <w:tcPr>
            <w:tcW w:w="5215" w:type="dxa"/>
            <w:shd w:val="clear" w:color="auto" w:fill="auto"/>
            <w:vAlign w:val="center"/>
          </w:tcPr>
          <w:p w:rsidR="00610529" w:rsidRPr="00064431" w:rsidRDefault="00610529" w:rsidP="00610529">
            <w:pPr>
              <w:numPr>
                <w:ilvl w:val="0"/>
                <w:numId w:val="1"/>
              </w:numPr>
              <w:spacing w:after="240" w:line="259" w:lineRule="auto"/>
              <w:contextualSpacing w:val="0"/>
              <w:rPr>
                <w:sz w:val="22"/>
              </w:rPr>
            </w:pPr>
            <w:r w:rsidRPr="00064431">
              <w:rPr>
                <w:sz w:val="22"/>
              </w:rPr>
              <w:t>If member accounts are involved in the fraud, a verification of member accounts should be performed.</w:t>
            </w:r>
          </w:p>
        </w:tc>
        <w:tc>
          <w:tcPr>
            <w:tcW w:w="1080" w:type="dxa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2520" w:type="dxa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</w:tr>
      <w:tr w:rsidR="00610529" w:rsidRPr="00064431" w:rsidTr="008170E5">
        <w:trPr>
          <w:trHeight w:val="557"/>
        </w:trPr>
        <w:tc>
          <w:tcPr>
            <w:tcW w:w="5215" w:type="dxa"/>
            <w:shd w:val="clear" w:color="auto" w:fill="auto"/>
            <w:vAlign w:val="center"/>
            <w:hideMark/>
          </w:tcPr>
          <w:p w:rsidR="00610529" w:rsidRPr="00064431" w:rsidRDefault="00610529" w:rsidP="00610529">
            <w:pPr>
              <w:numPr>
                <w:ilvl w:val="0"/>
                <w:numId w:val="1"/>
              </w:numPr>
              <w:spacing w:after="240" w:line="259" w:lineRule="auto"/>
              <w:contextualSpacing w:val="0"/>
              <w:rPr>
                <w:sz w:val="22"/>
              </w:rPr>
            </w:pPr>
            <w:r w:rsidRPr="00064431">
              <w:rPr>
                <w:sz w:val="22"/>
              </w:rPr>
              <w:lastRenderedPageBreak/>
              <w:t>File a bond claim after all facts are known and per the bond contract deadlines.  (The forensic CPA may be able to assis</w:t>
            </w:r>
            <w:r>
              <w:rPr>
                <w:sz w:val="22"/>
              </w:rPr>
              <w:t>t you in filing the bond claim.)</w:t>
            </w:r>
          </w:p>
        </w:tc>
        <w:tc>
          <w:tcPr>
            <w:tcW w:w="1080" w:type="dxa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2520" w:type="dxa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</w:tr>
      <w:tr w:rsidR="00610529" w:rsidRPr="00064431" w:rsidTr="008170E5">
        <w:trPr>
          <w:trHeight w:val="900"/>
        </w:trPr>
        <w:tc>
          <w:tcPr>
            <w:tcW w:w="5215" w:type="dxa"/>
            <w:shd w:val="clear" w:color="auto" w:fill="auto"/>
            <w:vAlign w:val="center"/>
            <w:hideMark/>
          </w:tcPr>
          <w:p w:rsidR="00610529" w:rsidRPr="00064431" w:rsidRDefault="00610529" w:rsidP="00610529">
            <w:pPr>
              <w:numPr>
                <w:ilvl w:val="0"/>
                <w:numId w:val="1"/>
              </w:numPr>
              <w:spacing w:after="240" w:line="259" w:lineRule="auto"/>
              <w:contextualSpacing w:val="0"/>
              <w:rPr>
                <w:sz w:val="22"/>
              </w:rPr>
            </w:pPr>
            <w:r w:rsidRPr="00064431">
              <w:rPr>
                <w:sz w:val="22"/>
              </w:rPr>
              <w:t>Once the fraud is confirmed, consult with attorney to formally notify the individual(s) of termination and to determine pay due to involved individual(s).  The acceptance of a resignation letter containing a “Hold Harmless” clause will be detrimental in pursuing any restitution.  You should consult with your attorney before accepting any resignation letter and ensure any termination letters does NOT con</w:t>
            </w:r>
            <w:r>
              <w:rPr>
                <w:sz w:val="22"/>
              </w:rPr>
              <w:t>tain a “Hold Harmless” clause.</w:t>
            </w:r>
          </w:p>
        </w:tc>
        <w:tc>
          <w:tcPr>
            <w:tcW w:w="1080" w:type="dxa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2520" w:type="dxa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</w:tr>
      <w:tr w:rsidR="00610529" w:rsidRPr="00064431" w:rsidTr="008170E5">
        <w:trPr>
          <w:trHeight w:val="773"/>
        </w:trPr>
        <w:tc>
          <w:tcPr>
            <w:tcW w:w="5215" w:type="dxa"/>
            <w:shd w:val="clear" w:color="auto" w:fill="auto"/>
            <w:vAlign w:val="center"/>
          </w:tcPr>
          <w:p w:rsidR="00610529" w:rsidRPr="00064431" w:rsidRDefault="00610529" w:rsidP="00610529">
            <w:pPr>
              <w:numPr>
                <w:ilvl w:val="0"/>
                <w:numId w:val="1"/>
              </w:numPr>
              <w:spacing w:after="240" w:line="259" w:lineRule="auto"/>
              <w:contextualSpacing w:val="0"/>
              <w:rPr>
                <w:sz w:val="22"/>
              </w:rPr>
            </w:pPr>
            <w:r w:rsidRPr="00064431">
              <w:rPr>
                <w:sz w:val="22"/>
              </w:rPr>
              <w:t>Complete a Suspicious Activity Report (SAR) per regulatory requirements.</w:t>
            </w:r>
          </w:p>
        </w:tc>
        <w:tc>
          <w:tcPr>
            <w:tcW w:w="1080" w:type="dxa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  <w:tc>
          <w:tcPr>
            <w:tcW w:w="2520" w:type="dxa"/>
          </w:tcPr>
          <w:p w:rsidR="00610529" w:rsidRPr="00064431" w:rsidRDefault="00610529" w:rsidP="008170E5">
            <w:pPr>
              <w:spacing w:after="240"/>
              <w:contextualSpacing w:val="0"/>
              <w:rPr>
                <w:sz w:val="22"/>
              </w:rPr>
            </w:pPr>
          </w:p>
        </w:tc>
      </w:tr>
    </w:tbl>
    <w:p w:rsidR="00AF3266" w:rsidRDefault="00D90365"/>
    <w:sectPr w:rsidR="00AF326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365" w:rsidRDefault="00D90365" w:rsidP="00610529">
      <w:r>
        <w:separator/>
      </w:r>
    </w:p>
  </w:endnote>
  <w:endnote w:type="continuationSeparator" w:id="0">
    <w:p w:rsidR="00D90365" w:rsidRDefault="00D90365" w:rsidP="00610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04845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0529" w:rsidRDefault="006105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23D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10529" w:rsidRDefault="006105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365" w:rsidRDefault="00D90365" w:rsidP="00610529">
      <w:r>
        <w:separator/>
      </w:r>
    </w:p>
  </w:footnote>
  <w:footnote w:type="continuationSeparator" w:id="0">
    <w:p w:rsidR="00D90365" w:rsidRDefault="00D90365" w:rsidP="00610529">
      <w:r>
        <w:continuationSeparator/>
      </w:r>
    </w:p>
  </w:footnote>
  <w:footnote w:id="1">
    <w:p w:rsidR="00610529" w:rsidRPr="00892807" w:rsidRDefault="00610529" w:rsidP="00610529">
      <w:pPr>
        <w:pStyle w:val="FootnoteText"/>
        <w:rPr>
          <w:rFonts w:ascii="Times New Roman" w:hAnsi="Times New Roman" w:cs="Times New Roman"/>
        </w:rPr>
      </w:pPr>
      <w:r w:rsidRPr="00892807">
        <w:rPr>
          <w:rStyle w:val="FootnoteReference"/>
          <w:rFonts w:ascii="Times New Roman" w:hAnsi="Times New Roman" w:cs="Times New Roman"/>
        </w:rPr>
        <w:footnoteRef/>
      </w:r>
      <w:r w:rsidRPr="00892807">
        <w:rPr>
          <w:rFonts w:ascii="Times New Roman" w:hAnsi="Times New Roman" w:cs="Times New Roman"/>
        </w:rPr>
        <w:t xml:space="preserve"> Access restriction should occur prior to placing the individual on administrative leave. </w:t>
      </w:r>
    </w:p>
  </w:footnote>
  <w:footnote w:id="2">
    <w:p w:rsidR="00610529" w:rsidRPr="00C163CE" w:rsidRDefault="00610529" w:rsidP="00610529">
      <w:pPr>
        <w:pStyle w:val="FootnoteText"/>
        <w:rPr>
          <w:rFonts w:ascii="Times New Roman" w:hAnsi="Times New Roman" w:cs="Times New Roman"/>
        </w:rPr>
      </w:pPr>
      <w:r w:rsidRPr="00C163CE">
        <w:rPr>
          <w:rStyle w:val="FootnoteReference"/>
          <w:rFonts w:ascii="Times New Roman" w:hAnsi="Times New Roman" w:cs="Times New Roman"/>
        </w:rPr>
        <w:footnoteRef/>
      </w:r>
      <w:r w:rsidRPr="00C163CE">
        <w:rPr>
          <w:rFonts w:ascii="Times New Roman" w:hAnsi="Times New Roman" w:cs="Times New Roman"/>
        </w:rPr>
        <w:t xml:space="preserve"> Obtain user names and passwords </w:t>
      </w:r>
      <w:r>
        <w:rPr>
          <w:rFonts w:ascii="Times New Roman" w:hAnsi="Times New Roman" w:cs="Times New Roman"/>
        </w:rPr>
        <w:t xml:space="preserve">for all </w:t>
      </w:r>
      <w:r w:rsidRPr="00C163CE">
        <w:rPr>
          <w:rFonts w:ascii="Times New Roman" w:hAnsi="Times New Roman" w:cs="Times New Roman"/>
        </w:rPr>
        <w:t>systems such as web-based applications, third party services, and credit union email.</w:t>
      </w:r>
    </w:p>
  </w:footnote>
  <w:footnote w:id="3">
    <w:p w:rsidR="00610529" w:rsidRPr="00BF5BB3" w:rsidRDefault="00610529" w:rsidP="00610529">
      <w:pPr>
        <w:pStyle w:val="FootnoteText"/>
        <w:rPr>
          <w:rFonts w:ascii="Times New Roman" w:hAnsi="Times New Roman" w:cs="Times New Roman"/>
        </w:rPr>
      </w:pPr>
      <w:r w:rsidRPr="00BF5BB3">
        <w:rPr>
          <w:rStyle w:val="FootnoteReference"/>
          <w:rFonts w:ascii="Times New Roman" w:hAnsi="Times New Roman" w:cs="Times New Roman"/>
        </w:rPr>
        <w:footnoteRef/>
      </w:r>
      <w:r w:rsidRPr="00BF5BB3">
        <w:rPr>
          <w:rFonts w:ascii="Times New Roman" w:hAnsi="Times New Roman" w:cs="Times New Roman"/>
        </w:rPr>
        <w:t xml:space="preserve"> Financial </w:t>
      </w:r>
      <w:r>
        <w:rPr>
          <w:rFonts w:ascii="Times New Roman" w:hAnsi="Times New Roman" w:cs="Times New Roman"/>
        </w:rPr>
        <w:t>institutions normally require identification</w:t>
      </w:r>
      <w:r w:rsidRPr="00BF5BB3">
        <w:rPr>
          <w:rFonts w:ascii="Times New Roman" w:hAnsi="Times New Roman" w:cs="Times New Roman"/>
        </w:rPr>
        <w:t xml:space="preserve"> of new signatories.  This process will be facilitated if current signers assist in the change.</w:t>
      </w:r>
      <w:r>
        <w:rPr>
          <w:rFonts w:ascii="Times New Roman" w:hAnsi="Times New Roman" w:cs="Times New Roman"/>
        </w:rPr>
        <w:t xml:space="preserve">  As different institutions will have varying procedures to make this change, the Board should contact the individual institution for further guidance on how to make the change as soon as possible.</w:t>
      </w:r>
    </w:p>
  </w:footnote>
  <w:footnote w:id="4">
    <w:p w:rsidR="00610529" w:rsidRPr="002A5CFC" w:rsidRDefault="00610529" w:rsidP="00610529">
      <w:pPr>
        <w:pStyle w:val="FootnoteText"/>
        <w:rPr>
          <w:rFonts w:ascii="Times New Roman" w:hAnsi="Times New Roman" w:cs="Times New Roman"/>
        </w:rPr>
      </w:pPr>
      <w:r w:rsidRPr="00E33DC3">
        <w:rPr>
          <w:rFonts w:ascii="Times New Roman" w:hAnsi="Times New Roman" w:cs="Times New Roman"/>
          <w:vertAlign w:val="superscript"/>
        </w:rPr>
        <w:footnoteRef/>
      </w:r>
      <w:r w:rsidRPr="002A5CFC">
        <w:rPr>
          <w:rFonts w:ascii="Times New Roman" w:hAnsi="Times New Roman" w:cs="Times New Roman"/>
        </w:rPr>
        <w:t xml:space="preserve"> This in</w:t>
      </w:r>
      <w:r>
        <w:rPr>
          <w:rFonts w:ascii="Times New Roman" w:hAnsi="Times New Roman" w:cs="Times New Roman"/>
        </w:rPr>
        <w:t>cludes</w:t>
      </w:r>
      <w:r w:rsidRPr="002A5CFC">
        <w:rPr>
          <w:rFonts w:ascii="Times New Roman" w:hAnsi="Times New Roman" w:cs="Times New Roman"/>
        </w:rPr>
        <w:t xml:space="preserve"> collecting all keys</w:t>
      </w:r>
      <w:r>
        <w:rPr>
          <w:rFonts w:ascii="Times New Roman" w:hAnsi="Times New Roman" w:cs="Times New Roman"/>
        </w:rPr>
        <w:t xml:space="preserve"> (such as cash drawers, mailboxes, desk drawers)</w:t>
      </w:r>
      <w:r w:rsidRPr="002A5CFC">
        <w:rPr>
          <w:rFonts w:ascii="Times New Roman" w:hAnsi="Times New Roman" w:cs="Times New Roman"/>
        </w:rPr>
        <w:t xml:space="preserve"> from the individual and changing combinations where applicable</w:t>
      </w:r>
      <w:r>
        <w:rPr>
          <w:rFonts w:ascii="Times New Roman" w:hAnsi="Times New Roman" w:cs="Times New Roman"/>
        </w:rPr>
        <w:t xml:space="preserve"> (for example, vault, ATM, night deposit)</w:t>
      </w:r>
      <w:r w:rsidRPr="002A5CFC">
        <w:rPr>
          <w:rFonts w:ascii="Times New Roman" w:hAnsi="Times New Roman" w:cs="Times New Roman"/>
        </w:rPr>
        <w:t>.</w:t>
      </w:r>
    </w:p>
  </w:footnote>
  <w:footnote w:id="5">
    <w:p w:rsidR="00610529" w:rsidRPr="00853797" w:rsidRDefault="00610529" w:rsidP="00610529">
      <w:pPr>
        <w:pStyle w:val="FootnoteText"/>
        <w:rPr>
          <w:rFonts w:ascii="Times New Roman" w:hAnsi="Times New Roman" w:cs="Times New Roman"/>
        </w:rPr>
      </w:pPr>
      <w:r w:rsidRPr="00E33DC3">
        <w:rPr>
          <w:rStyle w:val="FootnoteReference"/>
        </w:rPr>
        <w:footnoteRef/>
      </w:r>
      <w:r>
        <w:t xml:space="preserve"> </w:t>
      </w:r>
      <w:r w:rsidRPr="00853797">
        <w:rPr>
          <w:rFonts w:ascii="Times New Roman" w:hAnsi="Times New Roman" w:cs="Times New Roman"/>
        </w:rPr>
        <w:t>At least two officials should be present during the interview.</w:t>
      </w:r>
    </w:p>
  </w:footnote>
  <w:footnote w:id="6">
    <w:p w:rsidR="00610529" w:rsidRPr="00853797" w:rsidRDefault="00610529" w:rsidP="00610529">
      <w:pPr>
        <w:pStyle w:val="FootnoteText"/>
        <w:rPr>
          <w:rFonts w:ascii="Times New Roman" w:hAnsi="Times New Roman" w:cs="Times New Roman"/>
        </w:rPr>
      </w:pPr>
      <w:r w:rsidRPr="00E33DC3">
        <w:rPr>
          <w:rFonts w:ascii="Times New Roman" w:hAnsi="Times New Roman" w:cs="Times New Roman"/>
          <w:vertAlign w:val="superscript"/>
        </w:rPr>
        <w:footnoteRef/>
      </w:r>
      <w:r w:rsidRPr="00E33DC3">
        <w:rPr>
          <w:rFonts w:ascii="Times New Roman" w:hAnsi="Times New Roman" w:cs="Times New Roman"/>
          <w:vertAlign w:val="superscript"/>
        </w:rPr>
        <w:t xml:space="preserve"> </w:t>
      </w:r>
      <w:r w:rsidRPr="00853797">
        <w:rPr>
          <w:rFonts w:ascii="Times New Roman" w:hAnsi="Times New Roman" w:cs="Times New Roman"/>
        </w:rPr>
        <w:t xml:space="preserve">Credit </w:t>
      </w:r>
      <w:r>
        <w:rPr>
          <w:rFonts w:ascii="Times New Roman" w:hAnsi="Times New Roman" w:cs="Times New Roman"/>
        </w:rPr>
        <w:t>u</w:t>
      </w:r>
      <w:r w:rsidRPr="00853797">
        <w:rPr>
          <w:rFonts w:ascii="Times New Roman" w:hAnsi="Times New Roman" w:cs="Times New Roman"/>
        </w:rPr>
        <w:t xml:space="preserve">nion officials should consult with their human resources </w:t>
      </w:r>
      <w:r>
        <w:rPr>
          <w:rFonts w:ascii="Times New Roman" w:hAnsi="Times New Roman" w:cs="Times New Roman"/>
        </w:rPr>
        <w:t xml:space="preserve">department </w:t>
      </w:r>
      <w:r w:rsidRPr="00853797">
        <w:rPr>
          <w:rFonts w:ascii="Times New Roman" w:hAnsi="Times New Roman" w:cs="Times New Roman"/>
        </w:rPr>
        <w:t>and attorney during this step.</w:t>
      </w:r>
    </w:p>
  </w:footnote>
  <w:footnote w:id="7">
    <w:p w:rsidR="00610529" w:rsidRPr="00C54779" w:rsidRDefault="00610529" w:rsidP="00610529">
      <w:pPr>
        <w:pStyle w:val="FootnoteText"/>
        <w:rPr>
          <w:rFonts w:ascii="Times New Roman" w:hAnsi="Times New Roman" w:cs="Times New Roman"/>
        </w:rPr>
      </w:pPr>
      <w:r w:rsidRPr="00E33DC3">
        <w:rPr>
          <w:rFonts w:ascii="Times New Roman" w:hAnsi="Times New Roman" w:cs="Times New Roman"/>
          <w:vertAlign w:val="superscript"/>
        </w:rPr>
        <w:footnoteRef/>
      </w:r>
      <w:r w:rsidRPr="00E33DC3">
        <w:rPr>
          <w:rFonts w:ascii="Times New Roman" w:hAnsi="Times New Roman" w:cs="Times New Roman"/>
          <w:vertAlign w:val="superscript"/>
        </w:rPr>
        <w:t xml:space="preserve"> </w:t>
      </w:r>
      <w:r w:rsidRPr="00C54779">
        <w:rPr>
          <w:rFonts w:ascii="Times New Roman" w:hAnsi="Times New Roman" w:cs="Times New Roman"/>
        </w:rPr>
        <w:t xml:space="preserve">This step does not include maintaining car keys, wallet, etc. If the </w:t>
      </w:r>
      <w:r>
        <w:rPr>
          <w:rFonts w:ascii="Times New Roman" w:hAnsi="Times New Roman" w:cs="Times New Roman"/>
        </w:rPr>
        <w:t>individual</w:t>
      </w:r>
      <w:r w:rsidRPr="00C54779">
        <w:rPr>
          <w:rFonts w:ascii="Times New Roman" w:hAnsi="Times New Roman" w:cs="Times New Roman"/>
        </w:rPr>
        <w:t>(s) leaves with a briefcase or bag, officials should check contents for credit union possessions or evidence of the fraud prior to the individual(s) exiting the credit union.</w:t>
      </w:r>
    </w:p>
  </w:footnote>
  <w:footnote w:id="8">
    <w:p w:rsidR="00610529" w:rsidRPr="00C67D42" w:rsidRDefault="00610529" w:rsidP="00610529">
      <w:pPr>
        <w:pStyle w:val="FootnoteText"/>
        <w:rPr>
          <w:rFonts w:ascii="Times New Roman" w:hAnsi="Times New Roman" w:cs="Times New Roman"/>
        </w:rPr>
      </w:pPr>
      <w:r w:rsidRPr="00320167">
        <w:rPr>
          <w:vertAlign w:val="superscript"/>
        </w:rPr>
        <w:footnoteRef/>
      </w:r>
      <w:r w:rsidRPr="00320167"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  <w:vertAlign w:val="superscript"/>
        </w:rPr>
        <w:t xml:space="preserve"> </w:t>
      </w:r>
      <w:r w:rsidRPr="00C67D42">
        <w:rPr>
          <w:rFonts w:ascii="Times New Roman" w:hAnsi="Times New Roman" w:cs="Times New Roman"/>
        </w:rPr>
        <w:t>Mirroring makes an exact copy of t</w:t>
      </w:r>
      <w:r>
        <w:rPr>
          <w:rFonts w:ascii="Times New Roman" w:hAnsi="Times New Roman" w:cs="Times New Roman"/>
        </w:rPr>
        <w:t xml:space="preserve">he storage media on the computer that is precisely the same as </w:t>
      </w:r>
      <w:r w:rsidRPr="00C67D42">
        <w:rPr>
          <w:rFonts w:ascii="Times New Roman" w:hAnsi="Times New Roman" w:cs="Times New Roman"/>
        </w:rPr>
        <w:t>the original both physically and logically.  The purpose</w:t>
      </w:r>
      <w:r>
        <w:rPr>
          <w:rFonts w:ascii="Times New Roman" w:hAnsi="Times New Roman" w:cs="Times New Roman"/>
        </w:rPr>
        <w:t xml:space="preserve"> of mirroring</w:t>
      </w:r>
      <w:r w:rsidRPr="00C67D42">
        <w:rPr>
          <w:rFonts w:ascii="Times New Roman" w:hAnsi="Times New Roman" w:cs="Times New Roman"/>
        </w:rPr>
        <w:t xml:space="preserve"> is evidence preservation.  </w:t>
      </w:r>
    </w:p>
  </w:footnote>
  <w:footnote w:id="9">
    <w:p w:rsidR="00610529" w:rsidRPr="00911E6F" w:rsidRDefault="00610529" w:rsidP="00610529">
      <w:pPr>
        <w:pStyle w:val="FootnoteText"/>
        <w:rPr>
          <w:rFonts w:ascii="Times New Roman" w:hAnsi="Times New Roman" w:cs="Times New Roman"/>
        </w:rPr>
      </w:pPr>
      <w:r w:rsidRPr="00320167">
        <w:rPr>
          <w:vertAlign w:val="superscript"/>
        </w:rPr>
        <w:footnoteRef/>
      </w:r>
      <w:r>
        <w:rPr>
          <w:rFonts w:ascii="Times New Roman" w:hAnsi="Times New Roman" w:cs="Times New Roman"/>
        </w:rPr>
        <w:t xml:space="preserve"> </w:t>
      </w:r>
      <w:r w:rsidRPr="00911E6F">
        <w:rPr>
          <w:rFonts w:ascii="Times New Roman" w:hAnsi="Times New Roman" w:cs="Times New Roman"/>
        </w:rPr>
        <w:t>The credit union officials should consider consulting with an attorney to ensure notifications deadlines are met.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0529" w:rsidRPr="00A52C48" w:rsidRDefault="00610529" w:rsidP="00A52C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B2391C"/>
    <w:multiLevelType w:val="hybridMultilevel"/>
    <w:tmpl w:val="71763A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529"/>
    <w:rsid w:val="002F5682"/>
    <w:rsid w:val="00610529"/>
    <w:rsid w:val="00611ADB"/>
    <w:rsid w:val="00717D11"/>
    <w:rsid w:val="00AF23D9"/>
    <w:rsid w:val="00D9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8A33E-9E8E-4D03-AB37-C1300B706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529"/>
    <w:pPr>
      <w:spacing w:after="0" w:line="240" w:lineRule="auto"/>
      <w:contextualSpacing/>
    </w:pPr>
    <w:rPr>
      <w:rFonts w:ascii="Verdana" w:hAnsi="Verdan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0529"/>
    <w:pPr>
      <w:keepNext/>
      <w:keepLines/>
      <w:spacing w:before="480" w:after="240"/>
      <w:outlineLvl w:val="0"/>
    </w:pPr>
    <w:rPr>
      <w:rFonts w:ascii="Arial" w:eastAsiaTheme="majorEastAsia" w:hAnsi="Arial" w:cstheme="majorBidi"/>
      <w:b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529"/>
    <w:rPr>
      <w:rFonts w:ascii="Arial" w:eastAsiaTheme="majorEastAsia" w:hAnsi="Arial" w:cstheme="majorBidi"/>
      <w:b/>
      <w:sz w:val="36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052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0529"/>
    <w:rPr>
      <w:rFonts w:ascii="Verdana" w:hAnsi="Verdan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105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610529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6105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529"/>
    <w:rPr>
      <w:rFonts w:ascii="Verdana" w:hAnsi="Verdana"/>
      <w:sz w:val="24"/>
    </w:rPr>
  </w:style>
  <w:style w:type="paragraph" w:styleId="Footer">
    <w:name w:val="footer"/>
    <w:basedOn w:val="Normal"/>
    <w:link w:val="FooterChar"/>
    <w:uiPriority w:val="99"/>
    <w:unhideWhenUsed/>
    <w:rsid w:val="006105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529"/>
    <w:rPr>
      <w:rFonts w:ascii="Verdana" w:hAnsi="Verdan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NCUA</Company>
  <LinksUpToDate>false</LinksUpToDate>
  <CharactersWithSpaces>4838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Kefferstan, Courtney C</dc:creator>
  <cp:keywords/>
  <dc:description/>
  <cp:lastModifiedBy>Ross, Jacquelyn</cp:lastModifiedBy>
  <cp:revision>3</cp:revision>
  <dcterms:created xsi:type="dcterms:W3CDTF">2018-01-22T15:26:00Z</dcterms:created>
  <dcterms:modified xsi:type="dcterms:W3CDTF">2018-01-25T20:34:00Z</dcterms:modified>
</cp:coreProperties>
</file>