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5523"/>
        <w:gridCol w:w="4248"/>
      </w:tblGrid>
      <w:tr w:rsidR="00927055" w:rsidRPr="00EA0FE3" w:rsidTr="00AD7257">
        <w:trPr>
          <w:trHeight w:val="737"/>
        </w:trPr>
        <w:tc>
          <w:tcPr>
            <w:tcW w:w="9771" w:type="dxa"/>
            <w:gridSpan w:val="2"/>
            <w:shd w:val="clear" w:color="auto" w:fill="F3F3F3"/>
            <w:vAlign w:val="center"/>
          </w:tcPr>
          <w:p w:rsidR="00927055" w:rsidRPr="00EA0FE3" w:rsidRDefault="00927055" w:rsidP="00AD7257">
            <w:pPr>
              <w:pStyle w:val="last"/>
              <w:tabs>
                <w:tab w:val="clear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0" w:name="_GoBack"/>
            <w:bookmarkEnd w:id="0"/>
            <w:r w:rsidRPr="00EA0FE3">
              <w:rPr>
                <w:rFonts w:ascii="Times New Roman" w:hAnsi="Times New Roman"/>
                <w:b/>
                <w:sz w:val="20"/>
              </w:rPr>
              <w:t>EARNINGS WAIVER AND TRANSFER FORM</w:t>
            </w: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043908" w:rsidP="00AD7257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cs="Times New Roman"/>
                <w:b/>
                <w:bCs/>
                <w:iCs/>
                <w:sz w:val="20"/>
                <w:szCs w:val="20"/>
              </w:rPr>
              <w:t>Charter Number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pStyle w:val="last"/>
              <w:tabs>
                <w:tab w:val="clear" w:pos="360"/>
                <w:tab w:val="left" w:pos="720"/>
              </w:tabs>
              <w:overflowPunct/>
              <w:autoSpaceDE/>
              <w:adjustRightInd/>
              <w:spacing w:after="0" w:line="240" w:lineRule="auto"/>
              <w:jc w:val="both"/>
              <w:rPr>
                <w:rFonts w:ascii="Times New Roman" w:hAnsi="Times New Roman"/>
                <w:iCs/>
                <w:sz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043908" w:rsidP="00AD7257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cs="Times New Roman"/>
                <w:b/>
                <w:bCs/>
                <w:iCs/>
                <w:sz w:val="20"/>
                <w:szCs w:val="20"/>
              </w:rPr>
              <w:t>Credit Union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043908" w:rsidP="00AD7257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cs="Times New Roman"/>
                <w:b/>
                <w:bCs/>
                <w:iCs/>
                <w:sz w:val="20"/>
                <w:szCs w:val="20"/>
              </w:rPr>
              <w:t>Supervisor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043908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08" w:rsidRPr="00EA0FE3" w:rsidRDefault="00043908" w:rsidP="00AD7257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cs="Times New Roman"/>
                <w:b/>
                <w:bCs/>
                <w:iCs/>
                <w:sz w:val="20"/>
                <w:szCs w:val="20"/>
              </w:rPr>
              <w:t>Examiner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08" w:rsidRPr="00EA0FE3" w:rsidRDefault="00043908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CA70A7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 xml:space="preserve">CAMEL </w:t>
            </w:r>
            <w:r w:rsidR="00D22B36">
              <w:rPr>
                <w:rFonts w:cs="Times New Roman"/>
                <w:b/>
                <w:bCs/>
                <w:iCs/>
                <w:sz w:val="20"/>
                <w:szCs w:val="20"/>
              </w:rPr>
              <w:t>Rating</w:t>
            </w:r>
            <w:r w:rsidR="00043908"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 xml:space="preserve"> </w:t>
            </w: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>/ E</w:t>
            </w:r>
            <w:r w:rsidR="00043908">
              <w:rPr>
                <w:rFonts w:cs="Times New Roman"/>
                <w:b/>
                <w:bCs/>
                <w:iCs/>
                <w:sz w:val="20"/>
                <w:szCs w:val="20"/>
              </w:rPr>
              <w:t>ffective Date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043908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>F</w:t>
            </w:r>
            <w:r w:rsidR="00043908">
              <w:rPr>
                <w:rFonts w:cs="Times New Roman"/>
                <w:b/>
                <w:bCs/>
                <w:iCs/>
                <w:sz w:val="20"/>
                <w:szCs w:val="20"/>
              </w:rPr>
              <w:t>inancial Data Date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043908" w:rsidP="00043908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>T</w:t>
            </w:r>
            <w:r>
              <w:rPr>
                <w:rFonts w:cs="Times New Roman"/>
                <w:b/>
                <w:bCs/>
                <w:iCs/>
                <w:sz w:val="20"/>
                <w:szCs w:val="20"/>
              </w:rPr>
              <w:t>otal Assets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043908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>T</w:t>
            </w:r>
            <w:r w:rsidR="00043908">
              <w:rPr>
                <w:rFonts w:cs="Times New Roman"/>
                <w:b/>
                <w:bCs/>
                <w:iCs/>
                <w:sz w:val="20"/>
                <w:szCs w:val="20"/>
              </w:rPr>
              <w:t>otal Net Worth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043908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>N</w:t>
            </w:r>
            <w:r w:rsidR="00043908">
              <w:rPr>
                <w:rFonts w:cs="Times New Roman"/>
                <w:b/>
                <w:bCs/>
                <w:iCs/>
                <w:sz w:val="20"/>
                <w:szCs w:val="20"/>
              </w:rPr>
              <w:t>et Worth Ratio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927055" w:rsidRPr="00EA0FE3" w:rsidTr="00AD7257">
        <w:tblPrEx>
          <w:tblBorders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043908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  <w:r w:rsidRPr="00EA0FE3">
              <w:rPr>
                <w:rFonts w:cs="Times New Roman"/>
                <w:b/>
                <w:bCs/>
                <w:iCs/>
                <w:sz w:val="20"/>
                <w:szCs w:val="20"/>
              </w:rPr>
              <w:t>N</w:t>
            </w:r>
            <w:r w:rsidR="00043908">
              <w:rPr>
                <w:rFonts w:cs="Times New Roman"/>
                <w:b/>
                <w:bCs/>
                <w:iCs/>
                <w:sz w:val="20"/>
                <w:szCs w:val="20"/>
              </w:rPr>
              <w:t>et Worth Category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055" w:rsidRPr="00EA0FE3" w:rsidRDefault="00927055" w:rsidP="00AD7257">
            <w:pPr>
              <w:jc w:val="both"/>
              <w:rPr>
                <w:rFonts w:cs="Times New Roman"/>
                <w:iCs/>
                <w:sz w:val="20"/>
                <w:szCs w:val="20"/>
              </w:rPr>
            </w:pPr>
          </w:p>
        </w:tc>
      </w:tr>
    </w:tbl>
    <w:p w:rsidR="00927055" w:rsidRPr="00EA0FE3" w:rsidRDefault="00621FC9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D78D3" wp14:editId="22712014">
                <wp:simplePos x="0" y="0"/>
                <wp:positionH relativeFrom="column">
                  <wp:posOffset>238760</wp:posOffset>
                </wp:positionH>
                <wp:positionV relativeFrom="paragraph">
                  <wp:posOffset>103505</wp:posOffset>
                </wp:positionV>
                <wp:extent cx="2397760" cy="274320"/>
                <wp:effectExtent l="10160" t="8255" r="6350" b="1270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63" w:rsidRPr="001F7E85" w:rsidRDefault="00915D63" w:rsidP="00927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.8pt;margin-top:8.15pt;width:188.8pt;height:21.6pt;z-index:2517596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">
                <v:textbox>
                  <w:txbxContent>
                    <w:p w:rsidR="00915D63" w:rsidRPr="001F7E85" w:rsidRDefault="00915D63" w:rsidP="0092705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  <w:t>Projected Net Income for the Quarter</w:t>
      </w:r>
    </w:p>
    <w:p w:rsidR="00927055" w:rsidRPr="00EA0FE3" w:rsidRDefault="00927055" w:rsidP="00927055">
      <w:pPr>
        <w:rPr>
          <w:rFonts w:cs="Times New Roman"/>
          <w:sz w:val="20"/>
          <w:szCs w:val="20"/>
        </w:rPr>
      </w:pPr>
    </w:p>
    <w:p w:rsidR="00927055" w:rsidRPr="00EA0FE3" w:rsidRDefault="00621FC9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E8688B" wp14:editId="36FF8F10">
                <wp:simplePos x="0" y="0"/>
                <wp:positionH relativeFrom="column">
                  <wp:posOffset>259715</wp:posOffset>
                </wp:positionH>
                <wp:positionV relativeFrom="paragraph">
                  <wp:posOffset>86360</wp:posOffset>
                </wp:positionV>
                <wp:extent cx="2388870" cy="274320"/>
                <wp:effectExtent l="12065" t="10160" r="13335" b="10795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63" w:rsidRDefault="00915D63" w:rsidP="009270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0.45pt;margin-top:6.8pt;width:188.1pt;height:21.6pt;z-index:2517606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">
                <v:textbox>
                  <w:txbxContent>
                    <w:p w:rsidR="00915D63" w:rsidRDefault="00915D63" w:rsidP="00927055"/>
                  </w:txbxContent>
                </v:textbox>
              </v:shape>
            </w:pict>
          </mc:Fallback>
        </mc:AlternateConten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r w:rsidRPr="00EA0FE3">
        <w:rPr>
          <w:rFonts w:cs="Times New Roman"/>
          <w:b/>
          <w:sz w:val="20"/>
          <w:szCs w:val="20"/>
        </w:rPr>
        <w:tab/>
      </w:r>
      <w:proofErr w:type="spellStart"/>
      <w:r w:rsidRPr="00EA0FE3">
        <w:rPr>
          <w:rFonts w:cs="Times New Roman"/>
          <w:b/>
          <w:sz w:val="20"/>
          <w:szCs w:val="20"/>
        </w:rPr>
        <w:t>PCA</w:t>
      </w:r>
      <w:proofErr w:type="spellEnd"/>
      <w:r w:rsidRPr="00EA0FE3">
        <w:rPr>
          <w:rFonts w:cs="Times New Roman"/>
          <w:b/>
          <w:sz w:val="20"/>
          <w:szCs w:val="20"/>
        </w:rPr>
        <w:t xml:space="preserve"> Required Income for the Quarter (.1%)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621FC9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cs="Times New Roman"/>
          <w:sz w:val="20"/>
          <w:szCs w:val="20"/>
        </w:rPr>
      </w:pPr>
      <w:r w:rsidRPr="00EA0FE3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20283E" wp14:editId="3DB47451">
                <wp:simplePos x="0" y="0"/>
                <wp:positionH relativeFrom="column">
                  <wp:posOffset>248920</wp:posOffset>
                </wp:positionH>
                <wp:positionV relativeFrom="paragraph">
                  <wp:posOffset>9525</wp:posOffset>
                </wp:positionV>
                <wp:extent cx="929640" cy="247015"/>
                <wp:effectExtent l="10795" t="9525" r="12065" b="1016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63" w:rsidRPr="001F7E85" w:rsidRDefault="00915D63" w:rsidP="00927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7E85">
                              <w:rPr>
                                <w:sz w:val="20"/>
                                <w:szCs w:val="20"/>
                              </w:rP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19.6pt;margin-top:.75pt;width:73.2pt;height:19.45pt;z-index:25176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">
                <v:textbox style="mso-fit-shape-to-text:t">
                  <w:txbxContent>
                    <w:p w:rsidR="00915D63" w:rsidRPr="001F7E85" w:rsidRDefault="00915D63" w:rsidP="00927055">
                      <w:pPr>
                        <w:rPr>
                          <w:sz w:val="20"/>
                          <w:szCs w:val="20"/>
                        </w:rPr>
                      </w:pPr>
                      <w:r w:rsidRPr="001F7E85">
                        <w:rPr>
                          <w:sz w:val="20"/>
                          <w:szCs w:val="20"/>
                        </w:rP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927055" w:rsidRPr="00EA0FE3">
        <w:rPr>
          <w:rFonts w:cs="Times New Roman"/>
          <w:b/>
          <w:sz w:val="20"/>
          <w:szCs w:val="20"/>
        </w:rPr>
        <w:t xml:space="preserve">Is the waiver of the required earnings retention and/or earnings transfer necessary to avoid a significant redemption of shares? </w:t>
      </w:r>
      <w:r w:rsidR="00927055" w:rsidRPr="00EA0FE3">
        <w:rPr>
          <w:rFonts w:cs="Times New Roman"/>
          <w:sz w:val="20"/>
          <w:szCs w:val="20"/>
        </w:rPr>
        <w:t>(Reason for request)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621FC9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DF1E31" wp14:editId="609624AD">
                <wp:simplePos x="0" y="0"/>
                <wp:positionH relativeFrom="column">
                  <wp:posOffset>254000</wp:posOffset>
                </wp:positionH>
                <wp:positionV relativeFrom="paragraph">
                  <wp:posOffset>35560</wp:posOffset>
                </wp:positionV>
                <wp:extent cx="914400" cy="274320"/>
                <wp:effectExtent l="6350" t="6985" r="12700" b="1397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63" w:rsidRPr="001F7E85" w:rsidRDefault="00915D63" w:rsidP="00927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7E85">
                              <w:rPr>
                                <w:sz w:val="20"/>
                                <w:szCs w:val="20"/>
                              </w:rP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20pt;margin-top:2.8pt;width:1in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">
                <v:textbox>
                  <w:txbxContent>
                    <w:p w:rsidR="00915D63" w:rsidRPr="001F7E85" w:rsidRDefault="00915D63" w:rsidP="00927055">
                      <w:pPr>
                        <w:rPr>
                          <w:sz w:val="20"/>
                          <w:szCs w:val="20"/>
                        </w:rPr>
                      </w:pPr>
                      <w:r w:rsidRPr="001F7E85">
                        <w:rPr>
                          <w:sz w:val="20"/>
                          <w:szCs w:val="20"/>
                        </w:rP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927055" w:rsidRPr="00EA0FE3">
        <w:rPr>
          <w:rFonts w:cs="Times New Roman"/>
          <w:b/>
          <w:sz w:val="20"/>
          <w:szCs w:val="20"/>
        </w:rPr>
        <w:t xml:space="preserve">Would the waiver of the required earnings retention and/or earnings transfer further the purpose of </w:t>
      </w:r>
      <w:proofErr w:type="spellStart"/>
      <w:r w:rsidR="00927055" w:rsidRPr="00EA0FE3">
        <w:rPr>
          <w:rFonts w:cs="Times New Roman"/>
          <w:b/>
          <w:sz w:val="20"/>
          <w:szCs w:val="20"/>
        </w:rPr>
        <w:t>PCA</w:t>
      </w:r>
      <w:proofErr w:type="spellEnd"/>
      <w:r w:rsidR="00927055" w:rsidRPr="00EA0FE3">
        <w:rPr>
          <w:rFonts w:cs="Times New Roman"/>
          <w:b/>
          <w:sz w:val="20"/>
          <w:szCs w:val="20"/>
        </w:rPr>
        <w:t xml:space="preserve">? </w:t>
      </w:r>
      <w:r w:rsidR="00927055" w:rsidRPr="00EA0FE3">
        <w:rPr>
          <w:rFonts w:cs="Times New Roman"/>
          <w:sz w:val="20"/>
          <w:szCs w:val="20"/>
        </w:rPr>
        <w:t>(Is action plan appropriate to increase net worth?)</w:t>
      </w:r>
    </w:p>
    <w:p w:rsidR="00927055" w:rsidRPr="00EA0FE3" w:rsidRDefault="00621FC9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09E9BE" wp14:editId="4659299D">
                <wp:simplePos x="0" y="0"/>
                <wp:positionH relativeFrom="column">
                  <wp:posOffset>243840</wp:posOffset>
                </wp:positionH>
                <wp:positionV relativeFrom="paragraph">
                  <wp:posOffset>104775</wp:posOffset>
                </wp:positionV>
                <wp:extent cx="914400" cy="274320"/>
                <wp:effectExtent l="5715" t="9525" r="13335" b="1143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63" w:rsidRPr="001F7E85" w:rsidRDefault="00915D63" w:rsidP="00927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7E85">
                              <w:rPr>
                                <w:sz w:val="20"/>
                                <w:szCs w:val="20"/>
                              </w:rP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19.2pt;margin-top:8.25pt;width:1in;height:2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">
                <v:textbox>
                  <w:txbxContent>
                    <w:p w:rsidR="00915D63" w:rsidRPr="001F7E85" w:rsidRDefault="00915D63" w:rsidP="00927055">
                      <w:pPr>
                        <w:rPr>
                          <w:sz w:val="20"/>
                          <w:szCs w:val="20"/>
                        </w:rPr>
                      </w:pPr>
                      <w:r w:rsidRPr="001F7E85">
                        <w:rPr>
                          <w:sz w:val="20"/>
                          <w:szCs w:val="20"/>
                        </w:rP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cs="Times New Roman"/>
          <w:sz w:val="20"/>
          <w:szCs w:val="20"/>
        </w:rPr>
      </w:pPr>
      <w:r w:rsidRPr="00EA0FE3">
        <w:rPr>
          <w:rFonts w:cs="Times New Roman"/>
          <w:b/>
          <w:sz w:val="20"/>
          <w:szCs w:val="20"/>
        </w:rPr>
        <w:t xml:space="preserve">Are projected dividend rates reasonable? </w:t>
      </w:r>
      <w:r w:rsidRPr="00EA0FE3">
        <w:rPr>
          <w:rFonts w:cs="Times New Roman"/>
          <w:sz w:val="20"/>
          <w:szCs w:val="20"/>
        </w:rPr>
        <w:t xml:space="preserve">(If not included with request, examiner needs to contact CU (or </w:t>
      </w:r>
      <w:proofErr w:type="spellStart"/>
      <w:r w:rsidRPr="00EA0FE3">
        <w:rPr>
          <w:rFonts w:cs="Times New Roman"/>
          <w:sz w:val="20"/>
          <w:szCs w:val="20"/>
        </w:rPr>
        <w:t>SSA</w:t>
      </w:r>
      <w:proofErr w:type="spellEnd"/>
      <w:r w:rsidRPr="00EA0FE3">
        <w:rPr>
          <w:rFonts w:cs="Times New Roman"/>
          <w:sz w:val="20"/>
          <w:szCs w:val="20"/>
        </w:rPr>
        <w:t xml:space="preserve"> if needed) for documentation)</w:t>
      </w:r>
    </w:p>
    <w:p w:rsidR="00927055" w:rsidRPr="00EA0FE3" w:rsidRDefault="00621FC9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9E5528" wp14:editId="0635D9AB">
                <wp:simplePos x="0" y="0"/>
                <wp:positionH relativeFrom="column">
                  <wp:posOffset>173355</wp:posOffset>
                </wp:positionH>
                <wp:positionV relativeFrom="paragraph">
                  <wp:posOffset>138430</wp:posOffset>
                </wp:positionV>
                <wp:extent cx="5485765" cy="1167765"/>
                <wp:effectExtent l="11430" t="5080" r="8255" b="8255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63" w:rsidRPr="00DC471A" w:rsidRDefault="00915D63" w:rsidP="00927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7E85">
                              <w:rPr>
                                <w:b/>
                                <w:sz w:val="20"/>
                                <w:szCs w:val="20"/>
                              </w:rPr>
                              <w:t>Comments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and Other Pertinent Information</w:t>
                            </w:r>
                            <w:r w:rsidRPr="001F7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13.65pt;margin-top:10.9pt;width:431.95pt;height:9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">
                <v:textbox>
                  <w:txbxContent>
                    <w:p w:rsidR="00915D63" w:rsidRPr="00DC471A" w:rsidRDefault="00915D63" w:rsidP="00927055">
                      <w:pPr>
                        <w:rPr>
                          <w:sz w:val="20"/>
                          <w:szCs w:val="20"/>
                        </w:rPr>
                      </w:pPr>
                      <w:r w:rsidRPr="001F7E85">
                        <w:rPr>
                          <w:b/>
                          <w:sz w:val="20"/>
                          <w:szCs w:val="20"/>
                        </w:rPr>
                        <w:t>Comments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and Other Pertinent Information</w:t>
                      </w:r>
                      <w:r w:rsidRPr="001F7E85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(Optional)</w:t>
                      </w:r>
                    </w:p>
                  </w:txbxContent>
                </v:textbox>
              </v:shape>
            </w:pict>
          </mc:Fallback>
        </mc:AlternateConten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b/>
          <w:sz w:val="20"/>
          <w:szCs w:val="20"/>
        </w:rPr>
      </w:pPr>
    </w:p>
    <w:p w:rsidR="00927055" w:rsidRPr="00EA0FE3" w:rsidRDefault="00927055" w:rsidP="009270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center"/>
        <w:rPr>
          <w:rFonts w:cs="Times New Roman"/>
          <w:b/>
          <w:sz w:val="20"/>
          <w:szCs w:val="20"/>
        </w:rPr>
      </w:pPr>
      <w:r w:rsidRPr="00EA0FE3">
        <w:rPr>
          <w:rFonts w:cs="Times New Roman"/>
          <w:b/>
          <w:sz w:val="20"/>
          <w:szCs w:val="20"/>
        </w:rPr>
        <w:t>APPROVAL/DENIAL RECOMMENDATIONS</w:t>
      </w:r>
    </w:p>
    <w:p w:rsidR="00927055" w:rsidRPr="00EA0FE3" w:rsidRDefault="00927055" w:rsidP="00927055">
      <w:pPr>
        <w:rPr>
          <w:rFonts w:cs="Times New Roman"/>
          <w:sz w:val="20"/>
          <w:szCs w:val="20"/>
        </w:rPr>
      </w:pPr>
    </w:p>
    <w:p w:rsidR="00927055" w:rsidRPr="00EA0FE3" w:rsidRDefault="00927055" w:rsidP="00927055">
      <w:pPr>
        <w:rPr>
          <w:rFonts w:cs="Times New Roman"/>
          <w:i/>
          <w:sz w:val="20"/>
          <w:szCs w:val="20"/>
        </w:rPr>
      </w:pPr>
      <w:r w:rsidRPr="00EA0FE3">
        <w:rPr>
          <w:rFonts w:cs="Times New Roman"/>
          <w:i/>
          <w:sz w:val="20"/>
          <w:szCs w:val="20"/>
        </w:rPr>
        <w:t>Examiner Recommendation:</w:t>
      </w:r>
    </w:p>
    <w:p w:rsidR="00927055" w:rsidRPr="00EA0FE3" w:rsidRDefault="00927055" w:rsidP="00927055">
      <w:pPr>
        <w:rPr>
          <w:rFonts w:cs="Times New Roman"/>
          <w:i/>
          <w:sz w:val="20"/>
          <w:szCs w:val="20"/>
        </w:rPr>
      </w:pPr>
    </w:p>
    <w:p w:rsidR="00927055" w:rsidRPr="00EA0FE3" w:rsidRDefault="00927055" w:rsidP="00927055">
      <w:pPr>
        <w:rPr>
          <w:rFonts w:cs="Times New Roman"/>
          <w:i/>
          <w:sz w:val="20"/>
          <w:szCs w:val="20"/>
        </w:rPr>
      </w:pPr>
      <w:r w:rsidRPr="00EA0FE3">
        <w:rPr>
          <w:rFonts w:cs="Times New Roman"/>
          <w:i/>
          <w:sz w:val="20"/>
          <w:szCs w:val="20"/>
        </w:rPr>
        <w:t>Supervisor Concurrence:</w:t>
      </w:r>
    </w:p>
    <w:p w:rsidR="00927055" w:rsidRPr="00EA0FE3" w:rsidRDefault="00927055" w:rsidP="00927055">
      <w:pPr>
        <w:rPr>
          <w:rFonts w:cs="Times New Roman"/>
          <w:i/>
          <w:sz w:val="20"/>
          <w:szCs w:val="20"/>
        </w:rPr>
      </w:pPr>
    </w:p>
    <w:p w:rsidR="00927055" w:rsidRPr="00EA0FE3" w:rsidRDefault="00927055" w:rsidP="00927055">
      <w:pPr>
        <w:rPr>
          <w:rFonts w:cs="Times New Roman"/>
          <w:i/>
          <w:sz w:val="20"/>
          <w:szCs w:val="20"/>
        </w:rPr>
      </w:pPr>
      <w:r w:rsidRPr="00EA0FE3">
        <w:rPr>
          <w:rFonts w:cs="Times New Roman"/>
          <w:i/>
          <w:sz w:val="20"/>
          <w:szCs w:val="20"/>
        </w:rPr>
        <w:t>Analyst Comments:</w:t>
      </w:r>
    </w:p>
    <w:sectPr w:rsidR="00927055" w:rsidRPr="00EA0FE3" w:rsidSect="008D1604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E41" w:rsidRDefault="00174E41" w:rsidP="00003698">
      <w:r>
        <w:separator/>
      </w:r>
    </w:p>
  </w:endnote>
  <w:endnote w:type="continuationSeparator" w:id="0">
    <w:p w:rsidR="00174E41" w:rsidRDefault="00174E41" w:rsidP="00003698">
      <w:r>
        <w:continuationSeparator/>
      </w:r>
    </w:p>
  </w:endnote>
  <w:endnote w:type="continuationNotice" w:id="1">
    <w:p w:rsidR="00174E41" w:rsidRDefault="00174E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E41" w:rsidRDefault="00174E41" w:rsidP="00003698">
      <w:r>
        <w:separator/>
      </w:r>
    </w:p>
  </w:footnote>
  <w:footnote w:type="continuationSeparator" w:id="0">
    <w:p w:rsidR="00174E41" w:rsidRDefault="00174E41" w:rsidP="00003698">
      <w:r>
        <w:continuationSeparator/>
      </w:r>
    </w:p>
  </w:footnote>
  <w:footnote w:type="continuationNotice" w:id="1">
    <w:p w:rsidR="00174E41" w:rsidRDefault="00174E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6F2127" w:rsidRDefault="008D1604" w:rsidP="006F2127">
    <w:pPr>
      <w:pStyle w:val="Heading1"/>
    </w:pPr>
    <w:bookmarkStart w:id="1" w:name="_Toc410730851"/>
    <w:bookmarkStart w:id="2" w:name="_Toc374715928"/>
    <w:bookmarkStart w:id="3" w:name="_Toc350243804"/>
    <w:bookmarkStart w:id="4" w:name="_Toc378338529"/>
    <w:bookmarkStart w:id="5" w:name="_Toc287274195"/>
    <w:r>
      <w:t>Template</w:t>
    </w:r>
    <w:r w:rsidR="006F2127">
      <w:t xml:space="preserve">: </w:t>
    </w:r>
    <w:r>
      <w:t xml:space="preserve">Regional Summary of </w:t>
    </w:r>
    <w:r w:rsidR="006F2127">
      <w:t>Decrease in Earnings Transfer Requirement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E41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127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69B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604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19A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4CC3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90599F9-4129-4543-B195-46EA5AD66D9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334C99D-1060-4B33-A640-9E043918CC2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F253474-550F-4DF0-A004-05709D7F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2015-02-03T19:53:00Z</dcterms:created>
  <dcterms:modified xsi:type="dcterms:W3CDTF">2015-02-12T21:37:00Z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