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9576"/>
      </w:tblGrid>
      <w:tr w:rsidR="00FF6960" w:rsidRPr="00EA0FE3" w:rsidTr="00D56FA6">
        <w:trPr>
          <w:trHeight w:val="737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F6960" w:rsidRPr="00EA0FE3" w:rsidRDefault="00FF6960" w:rsidP="00D56FA6">
            <w:pPr>
              <w:jc w:val="center"/>
              <w:rPr>
                <w:rFonts w:cs="Times New Roman"/>
                <w:b/>
              </w:rPr>
            </w:pPr>
            <w:bookmarkStart w:id="0" w:name="_GoBack"/>
            <w:bookmarkEnd w:id="0"/>
            <w:r w:rsidRPr="00EA0FE3">
              <w:rPr>
                <w:rFonts w:cs="Times New Roman"/>
                <w:b/>
              </w:rPr>
              <w:t>REGIONAL SUMMARY</w:t>
            </w:r>
          </w:p>
          <w:p w:rsidR="00FF6960" w:rsidRPr="00EA0FE3" w:rsidRDefault="00AF46B9" w:rsidP="00D56FA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Loan Participation Limitation Waiver</w:t>
            </w:r>
          </w:p>
        </w:tc>
      </w:tr>
    </w:tbl>
    <w:p w:rsidR="00FF6960" w:rsidRPr="00EA0FE3" w:rsidRDefault="00FF6960" w:rsidP="00FF6960">
      <w:pPr>
        <w:rPr>
          <w:rFonts w:cs="Times New Roman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8"/>
        <w:gridCol w:w="4338"/>
      </w:tblGrid>
      <w:tr w:rsidR="00FF6960" w:rsidRPr="00EA0FE3" w:rsidTr="00D56FA6"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6960" w:rsidRPr="00EA0FE3" w:rsidRDefault="00980C6D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Charter Number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6960" w:rsidRPr="00EA0FE3" w:rsidRDefault="00FF6960" w:rsidP="00D56FA6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6960" w:rsidRPr="00EA0FE3" w:rsidTr="00D56FA6"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6960" w:rsidRPr="00EA0FE3" w:rsidRDefault="00980C6D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Credit Union Name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6960" w:rsidRPr="00EA0FE3" w:rsidTr="00D56FA6"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6960" w:rsidRPr="00EA0FE3" w:rsidRDefault="00980C6D" w:rsidP="00980C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Supervisor Name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980C6D" w:rsidRPr="00EA0FE3" w:rsidTr="00D56FA6"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80C6D" w:rsidRPr="00EA0FE3" w:rsidRDefault="00980C6D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Examiner Name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80C6D" w:rsidRPr="00EA0FE3" w:rsidRDefault="00980C6D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6960" w:rsidRPr="00EA0FE3" w:rsidTr="00D56FA6"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6960" w:rsidRPr="00EA0FE3" w:rsidRDefault="00FF6960" w:rsidP="00CA7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 xml:space="preserve">CAMEL </w:t>
            </w:r>
            <w:r w:rsidR="00D22B36">
              <w:rPr>
                <w:rFonts w:cs="Times New Roman"/>
                <w:b/>
                <w:bCs/>
              </w:rPr>
              <w:t>Rating</w:t>
            </w:r>
            <w:r w:rsidR="00980C6D" w:rsidRPr="00EA0FE3">
              <w:rPr>
                <w:rFonts w:cs="Times New Roman"/>
                <w:b/>
                <w:bCs/>
              </w:rPr>
              <w:t xml:space="preserve"> </w:t>
            </w:r>
            <w:r w:rsidRPr="00EA0FE3">
              <w:rPr>
                <w:rFonts w:cs="Times New Roman"/>
                <w:b/>
                <w:bCs/>
              </w:rPr>
              <w:t xml:space="preserve">/ </w:t>
            </w:r>
            <w:r w:rsidR="00980C6D">
              <w:rPr>
                <w:rFonts w:cs="Times New Roman"/>
                <w:b/>
                <w:bCs/>
              </w:rPr>
              <w:t>Effective Date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6960" w:rsidRPr="00EA0FE3" w:rsidTr="00D56FA6"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6960" w:rsidRPr="00EA0FE3" w:rsidRDefault="00FF6960" w:rsidP="004F54D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F</w:t>
            </w:r>
            <w:r w:rsidR="00980C6D">
              <w:rPr>
                <w:rFonts w:cs="Times New Roman"/>
                <w:b/>
                <w:bCs/>
              </w:rPr>
              <w:t xml:space="preserve">inancial </w:t>
            </w:r>
            <w:r w:rsidR="00981579">
              <w:rPr>
                <w:rFonts w:cs="Times New Roman"/>
                <w:b/>
                <w:bCs/>
              </w:rPr>
              <w:t xml:space="preserve">Data </w:t>
            </w:r>
            <w:r w:rsidR="00980C6D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6960" w:rsidRPr="00EA0FE3" w:rsidTr="00D56FA6"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6960" w:rsidRPr="00EA0FE3" w:rsidRDefault="00FF6960" w:rsidP="00980C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T</w:t>
            </w:r>
            <w:r w:rsidR="00980C6D">
              <w:rPr>
                <w:rFonts w:cs="Times New Roman"/>
                <w:b/>
                <w:bCs/>
              </w:rPr>
              <w:t>otal Assets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6960" w:rsidRPr="00EA0FE3" w:rsidTr="00D56FA6"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6960" w:rsidRPr="00EA0FE3" w:rsidRDefault="00FF6960" w:rsidP="00980C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N</w:t>
            </w:r>
            <w:r w:rsidR="00980C6D">
              <w:rPr>
                <w:rFonts w:cs="Times New Roman"/>
                <w:b/>
                <w:bCs/>
              </w:rPr>
              <w:t>et Worth Ratio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</w:tbl>
    <w:p w:rsidR="00FF6960" w:rsidRPr="00EA0FE3" w:rsidRDefault="00FF6960" w:rsidP="00FF6960">
      <w:pPr>
        <w:rPr>
          <w:rFonts w:cs="Times New Roman"/>
          <w:szCs w:val="24"/>
        </w:rPr>
      </w:pPr>
    </w:p>
    <w:p w:rsidR="00FF6960" w:rsidRPr="00EA0FE3" w:rsidRDefault="00FF6960" w:rsidP="00FF6960">
      <w:pPr>
        <w:rPr>
          <w:rFonts w:cs="Times New Roman"/>
          <w:b/>
          <w:bCs/>
          <w:szCs w:val="24"/>
        </w:rPr>
      </w:pPr>
      <w:proofErr w:type="spellStart"/>
      <w:r w:rsidRPr="00EA0FE3">
        <w:rPr>
          <w:rFonts w:cs="Times New Roman"/>
          <w:b/>
          <w:bCs/>
          <w:szCs w:val="24"/>
        </w:rPr>
        <w:t>FOM</w:t>
      </w:r>
      <w:proofErr w:type="spellEnd"/>
      <w:r w:rsidRPr="00EA0FE3">
        <w:rPr>
          <w:rFonts w:cs="Times New Roman"/>
          <w:b/>
          <w:bCs/>
          <w:szCs w:val="24"/>
        </w:rPr>
        <w:t xml:space="preserve"> Description</w:t>
      </w:r>
    </w:p>
    <w:p w:rsidR="00FF6960" w:rsidRPr="00EA0FE3" w:rsidRDefault="00FF6960" w:rsidP="00FF6960">
      <w:pPr>
        <w:rPr>
          <w:rFonts w:cs="Times New Roman"/>
          <w:bCs/>
        </w:rPr>
      </w:pPr>
    </w:p>
    <w:p w:rsidR="00FF6960" w:rsidRPr="00EA0FE3" w:rsidRDefault="00FF6960" w:rsidP="00FF6960">
      <w:pPr>
        <w:rPr>
          <w:rFonts w:cs="Times New Roman"/>
          <w:b/>
          <w:bCs/>
          <w:szCs w:val="24"/>
        </w:rPr>
      </w:pPr>
      <w:r w:rsidRPr="00EA0FE3">
        <w:rPr>
          <w:rFonts w:cs="Times New Roman"/>
          <w:b/>
          <w:bCs/>
          <w:szCs w:val="24"/>
        </w:rPr>
        <w:t>Type of Waiver and Limit Requested</w:t>
      </w:r>
    </w:p>
    <w:p w:rsidR="00FF6960" w:rsidRPr="00EA0FE3" w:rsidRDefault="00FF6960" w:rsidP="00FF6960">
      <w:pPr>
        <w:rPr>
          <w:rFonts w:cs="Times New Roman"/>
        </w:rPr>
      </w:pPr>
    </w:p>
    <w:p w:rsidR="00FF6960" w:rsidRPr="00EA0FE3" w:rsidRDefault="00FF6960" w:rsidP="00FF6960">
      <w:pPr>
        <w:rPr>
          <w:rFonts w:cs="Times New Roman"/>
          <w:b/>
          <w:bCs/>
          <w:szCs w:val="24"/>
        </w:rPr>
      </w:pPr>
      <w:r w:rsidRPr="00EA0FE3">
        <w:rPr>
          <w:rFonts w:cs="Times New Roman"/>
          <w:b/>
          <w:bCs/>
          <w:szCs w:val="24"/>
        </w:rPr>
        <w:t>Reason for Request</w:t>
      </w:r>
    </w:p>
    <w:p w:rsidR="00FF6960" w:rsidRPr="00EA0FE3" w:rsidRDefault="00FF6960" w:rsidP="00FF6960">
      <w:pPr>
        <w:rPr>
          <w:rFonts w:cs="Times New Roman"/>
          <w:bCs/>
        </w:rPr>
      </w:pPr>
      <w:r w:rsidRPr="00EA0FE3">
        <w:rPr>
          <w:rFonts w:cs="Times New Roman"/>
          <w:bCs/>
        </w:rPr>
        <w:t>Include a discussion of the need to raise the limit.</w:t>
      </w:r>
    </w:p>
    <w:p w:rsidR="00FF6960" w:rsidRPr="00EA0FE3" w:rsidRDefault="00FF6960" w:rsidP="00FF6960">
      <w:pPr>
        <w:rPr>
          <w:rFonts w:cs="Times New Roman"/>
          <w:bCs/>
        </w:rPr>
      </w:pPr>
    </w:p>
    <w:p w:rsidR="00FF6960" w:rsidRPr="00EA0FE3" w:rsidRDefault="00FF6960" w:rsidP="00FF6960">
      <w:pPr>
        <w:rPr>
          <w:rFonts w:cs="Times New Roman"/>
          <w:b/>
          <w:bCs/>
          <w:szCs w:val="24"/>
        </w:rPr>
      </w:pPr>
      <w:r w:rsidRPr="00EA0FE3">
        <w:rPr>
          <w:rFonts w:cs="Times New Roman"/>
          <w:b/>
          <w:bCs/>
          <w:szCs w:val="24"/>
        </w:rPr>
        <w:t>Assessment of Management</w:t>
      </w:r>
    </w:p>
    <w:p w:rsidR="00FF6960" w:rsidRPr="00EA0FE3" w:rsidRDefault="00FF6960" w:rsidP="00FF6960">
      <w:pPr>
        <w:rPr>
          <w:rFonts w:cs="Times New Roman"/>
          <w:bCs/>
        </w:rPr>
      </w:pPr>
      <w:r w:rsidRPr="00EA0FE3">
        <w:rPr>
          <w:rFonts w:cs="Times New Roman"/>
          <w:bCs/>
        </w:rPr>
        <w:t>Discuss whether the credit union included documentation supporting its ability to manage the activity.</w:t>
      </w:r>
    </w:p>
    <w:p w:rsidR="00FF6960" w:rsidRPr="00EA0FE3" w:rsidRDefault="00FF6960" w:rsidP="00FF6960">
      <w:pPr>
        <w:rPr>
          <w:rFonts w:cs="Times New Roman"/>
          <w:bCs/>
        </w:rPr>
      </w:pPr>
    </w:p>
    <w:p w:rsidR="00FF6960" w:rsidRPr="00EA0FE3" w:rsidRDefault="00FF6960" w:rsidP="00FF6960">
      <w:pPr>
        <w:pStyle w:val="BodyText"/>
        <w:spacing w:after="0"/>
        <w:rPr>
          <w:b/>
          <w:bCs/>
          <w:szCs w:val="24"/>
        </w:rPr>
      </w:pPr>
      <w:r w:rsidRPr="00EA0FE3">
        <w:rPr>
          <w:b/>
          <w:bCs/>
          <w:szCs w:val="24"/>
        </w:rPr>
        <w:t>Financial condition, trends and projections</w:t>
      </w:r>
    </w:p>
    <w:p w:rsidR="00FF6960" w:rsidRPr="00EA0FE3" w:rsidRDefault="00FF6960" w:rsidP="00FF6960">
      <w:pPr>
        <w:pStyle w:val="BodyText"/>
        <w:spacing w:after="0"/>
        <w:rPr>
          <w:bCs/>
          <w:szCs w:val="22"/>
        </w:rPr>
      </w:pPr>
    </w:p>
    <w:p w:rsidR="00D64B0E" w:rsidRDefault="00D64B0E" w:rsidP="00D64B0E">
      <w:pPr>
        <w:rPr>
          <w:b/>
        </w:rPr>
      </w:pPr>
      <w:r>
        <w:rPr>
          <w:b/>
        </w:rPr>
        <w:t>Analysis as outlined in Supervisory Letter 13-4:</w:t>
      </w:r>
    </w:p>
    <w:p w:rsidR="00D64B0E" w:rsidRPr="00251692" w:rsidRDefault="00D64B0E" w:rsidP="00D64B0E"/>
    <w:p w:rsidR="00980C6D" w:rsidRDefault="00D64B0E" w:rsidP="00251692">
      <w:pPr>
        <w:pStyle w:val="ListParagraph"/>
        <w:numPr>
          <w:ilvl w:val="0"/>
          <w:numId w:val="253"/>
        </w:numPr>
        <w:spacing w:after="120"/>
        <w:ind w:left="720"/>
        <w:contextualSpacing w:val="0"/>
        <w:rPr>
          <w:sz w:val="23"/>
          <w:szCs w:val="23"/>
        </w:rPr>
      </w:pPr>
      <w:r w:rsidRPr="00251692">
        <w:rPr>
          <w:sz w:val="23"/>
          <w:szCs w:val="23"/>
        </w:rPr>
        <w:t>The credit union’s financial capacity, management capability, and experience to absorb and manage the type of risk being assumed</w:t>
      </w:r>
    </w:p>
    <w:p w:rsidR="00980C6D" w:rsidRDefault="00D64B0E" w:rsidP="00251692">
      <w:pPr>
        <w:pStyle w:val="ListParagraph"/>
        <w:numPr>
          <w:ilvl w:val="1"/>
          <w:numId w:val="253"/>
        </w:numPr>
        <w:spacing w:after="120"/>
        <w:ind w:left="1440"/>
        <w:contextualSpacing w:val="0"/>
        <w:rPr>
          <w:sz w:val="23"/>
          <w:szCs w:val="23"/>
        </w:rPr>
      </w:pPr>
      <w:r w:rsidRPr="00251692">
        <w:rPr>
          <w:sz w:val="23"/>
          <w:szCs w:val="23"/>
        </w:rPr>
        <w:t>This includes the credit union’s ability to conduct due diligence tailored to the complexity of the third-party relationships involved.</w:t>
      </w:r>
    </w:p>
    <w:p w:rsidR="00980C6D" w:rsidRDefault="00980C6D" w:rsidP="00251692">
      <w:pPr>
        <w:pStyle w:val="ListParagraph"/>
        <w:numPr>
          <w:ilvl w:val="0"/>
          <w:numId w:val="253"/>
        </w:numPr>
        <w:spacing w:after="120"/>
        <w:ind w:left="720"/>
        <w:contextualSpacing w:val="0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 w:rsidRPr="00980C6D">
        <w:rPr>
          <w:sz w:val="23"/>
          <w:szCs w:val="23"/>
        </w:rPr>
        <w:t>credit union’s history of financia</w:t>
      </w:r>
      <w:r>
        <w:rPr>
          <w:sz w:val="23"/>
          <w:szCs w:val="23"/>
        </w:rPr>
        <w:t>l and operational performance</w:t>
      </w:r>
    </w:p>
    <w:p w:rsidR="00D64B0E" w:rsidRPr="00251692" w:rsidRDefault="00980C6D" w:rsidP="00251692">
      <w:pPr>
        <w:pStyle w:val="ListParagraph"/>
        <w:numPr>
          <w:ilvl w:val="1"/>
          <w:numId w:val="253"/>
        </w:numPr>
        <w:spacing w:after="120"/>
        <w:ind w:left="1440"/>
        <w:contextualSpacing w:val="0"/>
        <w:rPr>
          <w:sz w:val="23"/>
          <w:szCs w:val="23"/>
        </w:rPr>
      </w:pPr>
      <w:r w:rsidRPr="00980C6D">
        <w:rPr>
          <w:sz w:val="23"/>
          <w:szCs w:val="23"/>
        </w:rPr>
        <w:t>Credit unions need to exhibit financial strength and consistent operating performance to warrant a waiver</w:t>
      </w:r>
      <w:r>
        <w:rPr>
          <w:sz w:val="23"/>
          <w:szCs w:val="23"/>
        </w:rPr>
        <w:t>.</w:t>
      </w:r>
    </w:p>
    <w:p w:rsidR="00980C6D" w:rsidRDefault="00980C6D" w:rsidP="00251692">
      <w:pPr>
        <w:pStyle w:val="ListParagraph"/>
        <w:numPr>
          <w:ilvl w:val="0"/>
          <w:numId w:val="253"/>
        </w:numPr>
        <w:spacing w:after="120"/>
        <w:ind w:left="720"/>
        <w:contextualSpacing w:val="0"/>
        <w:rPr>
          <w:sz w:val="23"/>
          <w:szCs w:val="23"/>
        </w:rPr>
      </w:pPr>
      <w:r>
        <w:rPr>
          <w:sz w:val="23"/>
          <w:szCs w:val="23"/>
        </w:rPr>
        <w:t xml:space="preserve">Loan </w:t>
      </w:r>
      <w:r w:rsidRPr="00980C6D">
        <w:rPr>
          <w:sz w:val="23"/>
          <w:szCs w:val="23"/>
        </w:rPr>
        <w:t>participation policies and procedures that encompass the types of loans the credit union will purchase, underwriting standards, concentration limits for collateral types, geographical locations, and other key risk factors</w:t>
      </w:r>
    </w:p>
    <w:p w:rsidR="00980C6D" w:rsidRDefault="00980C6D" w:rsidP="00251692">
      <w:pPr>
        <w:pStyle w:val="ListParagraph"/>
        <w:numPr>
          <w:ilvl w:val="0"/>
          <w:numId w:val="253"/>
        </w:numPr>
        <w:spacing w:after="120"/>
        <w:ind w:left="720"/>
        <w:contextualSpacing w:val="0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 w:rsidRPr="00980C6D">
        <w:rPr>
          <w:sz w:val="23"/>
          <w:szCs w:val="23"/>
        </w:rPr>
        <w:t>capability of the credit union’s risk management systems and processes including</w:t>
      </w:r>
      <w:r>
        <w:rPr>
          <w:sz w:val="23"/>
          <w:szCs w:val="23"/>
        </w:rPr>
        <w:t>:</w:t>
      </w:r>
    </w:p>
    <w:p w:rsidR="00D64B0E" w:rsidRPr="00D64B0E" w:rsidRDefault="00980C6D" w:rsidP="00251692">
      <w:pPr>
        <w:pStyle w:val="ListParagraph"/>
        <w:numPr>
          <w:ilvl w:val="1"/>
          <w:numId w:val="225"/>
        </w:numPr>
        <w:spacing w:after="120"/>
        <w:contextualSpacing w:val="0"/>
        <w:rPr>
          <w:sz w:val="23"/>
          <w:szCs w:val="23"/>
        </w:rPr>
      </w:pPr>
      <w:r>
        <w:rPr>
          <w:sz w:val="23"/>
          <w:szCs w:val="23"/>
        </w:rPr>
        <w:t>Q</w:t>
      </w:r>
      <w:r w:rsidR="00D64B0E" w:rsidRPr="00D64B0E">
        <w:rPr>
          <w:sz w:val="23"/>
          <w:szCs w:val="23"/>
        </w:rPr>
        <w:t>uality control procedures such as post-closing review of documents</w:t>
      </w:r>
      <w:r w:rsidR="00C76D86" w:rsidRPr="00774161">
        <w:rPr>
          <w:sz w:val="23"/>
        </w:rPr>
        <w:t>.</w:t>
      </w:r>
      <w:r w:rsidR="00D64B0E" w:rsidRPr="00774161">
        <w:rPr>
          <w:sz w:val="23"/>
        </w:rPr>
        <w:t xml:space="preserve"> </w:t>
      </w:r>
    </w:p>
    <w:p w:rsidR="00D64B0E" w:rsidRPr="00D64B0E" w:rsidRDefault="00980C6D" w:rsidP="00251692">
      <w:pPr>
        <w:pStyle w:val="ListParagraph"/>
        <w:numPr>
          <w:ilvl w:val="1"/>
          <w:numId w:val="225"/>
        </w:numPr>
        <w:spacing w:after="120"/>
        <w:contextualSpacing w:val="0"/>
        <w:rPr>
          <w:sz w:val="23"/>
          <w:szCs w:val="23"/>
        </w:rPr>
      </w:pPr>
      <w:r>
        <w:rPr>
          <w:sz w:val="23"/>
          <w:szCs w:val="23"/>
        </w:rPr>
        <w:t>Q</w:t>
      </w:r>
      <w:r w:rsidR="00D64B0E" w:rsidRPr="00D64B0E">
        <w:rPr>
          <w:sz w:val="23"/>
          <w:szCs w:val="23"/>
        </w:rPr>
        <w:t>uality and comprehensiveness of the master participation agreement(s)</w:t>
      </w:r>
      <w:r w:rsidR="00C76D86" w:rsidRPr="00774161">
        <w:rPr>
          <w:sz w:val="23"/>
        </w:rPr>
        <w:t>.</w:t>
      </w:r>
    </w:p>
    <w:p w:rsidR="00D64B0E" w:rsidRPr="00D64B0E" w:rsidRDefault="00980C6D" w:rsidP="00251692">
      <w:pPr>
        <w:pStyle w:val="ListParagraph"/>
        <w:numPr>
          <w:ilvl w:val="1"/>
          <w:numId w:val="225"/>
        </w:numPr>
        <w:spacing w:after="120"/>
        <w:contextualSpacing w:val="0"/>
        <w:rPr>
          <w:sz w:val="23"/>
          <w:szCs w:val="23"/>
        </w:rPr>
      </w:pPr>
      <w:r>
        <w:rPr>
          <w:sz w:val="23"/>
          <w:szCs w:val="23"/>
        </w:rPr>
        <w:t>E</w:t>
      </w:r>
      <w:r w:rsidR="00D64B0E" w:rsidRPr="00D64B0E">
        <w:rPr>
          <w:sz w:val="23"/>
          <w:szCs w:val="23"/>
        </w:rPr>
        <w:t>ffectiveness of credit administration</w:t>
      </w:r>
      <w:r w:rsidR="00C76D86" w:rsidRPr="00774161">
        <w:rPr>
          <w:sz w:val="23"/>
        </w:rPr>
        <w:t>.</w:t>
      </w:r>
      <w:r w:rsidR="00D64B0E" w:rsidRPr="00D64B0E">
        <w:rPr>
          <w:sz w:val="23"/>
          <w:szCs w:val="23"/>
        </w:rPr>
        <w:t xml:space="preserve"> </w:t>
      </w:r>
    </w:p>
    <w:p w:rsidR="00D64B0E" w:rsidRPr="00D64B0E" w:rsidRDefault="00980C6D" w:rsidP="00251692">
      <w:pPr>
        <w:pStyle w:val="ListParagraph"/>
        <w:numPr>
          <w:ilvl w:val="1"/>
          <w:numId w:val="225"/>
        </w:numPr>
        <w:spacing w:after="120"/>
        <w:contextualSpacing w:val="0"/>
        <w:rPr>
          <w:sz w:val="23"/>
          <w:szCs w:val="23"/>
        </w:rPr>
      </w:pPr>
      <w:r>
        <w:rPr>
          <w:sz w:val="23"/>
          <w:szCs w:val="23"/>
        </w:rPr>
        <w:lastRenderedPageBreak/>
        <w:t>M</w:t>
      </w:r>
      <w:r w:rsidR="00D64B0E" w:rsidRPr="00D64B0E">
        <w:rPr>
          <w:sz w:val="23"/>
          <w:szCs w:val="23"/>
        </w:rPr>
        <w:t xml:space="preserve">onitoring of the liquidity and financial health of the originating lender, servicer or both. </w:t>
      </w:r>
    </w:p>
    <w:p w:rsidR="00D64B0E" w:rsidRPr="00D64B0E" w:rsidRDefault="00D64B0E" w:rsidP="00D64B0E">
      <w:pPr>
        <w:rPr>
          <w:sz w:val="23"/>
          <w:szCs w:val="23"/>
        </w:rPr>
      </w:pPr>
    </w:p>
    <w:p w:rsidR="00D64B0E" w:rsidRDefault="00D64B0E" w:rsidP="00D64B0E">
      <w:pPr>
        <w:rPr>
          <w:sz w:val="23"/>
          <w:szCs w:val="23"/>
        </w:rPr>
      </w:pPr>
      <w:r w:rsidRPr="00D64B0E">
        <w:rPr>
          <w:sz w:val="23"/>
          <w:szCs w:val="23"/>
        </w:rPr>
        <w:t>Credit unions requesting blanket waivers need to meet high standards of lending and management capability</w:t>
      </w:r>
      <w:r w:rsidR="00980C6D">
        <w:rPr>
          <w:sz w:val="23"/>
          <w:szCs w:val="23"/>
        </w:rPr>
        <w:t>, including:</w:t>
      </w:r>
    </w:p>
    <w:p w:rsidR="00D64B0E" w:rsidRDefault="00D64B0E" w:rsidP="00D64B0E">
      <w:pPr>
        <w:rPr>
          <w:sz w:val="23"/>
          <w:szCs w:val="23"/>
        </w:rPr>
      </w:pPr>
    </w:p>
    <w:p w:rsidR="00D64B0E" w:rsidRPr="00D64B0E" w:rsidRDefault="00D64B0E" w:rsidP="00251692">
      <w:pPr>
        <w:pStyle w:val="ListParagraph"/>
        <w:numPr>
          <w:ilvl w:val="0"/>
          <w:numId w:val="226"/>
        </w:numPr>
        <w:spacing w:after="120"/>
        <w:contextualSpacing w:val="0"/>
        <w:rPr>
          <w:sz w:val="23"/>
          <w:szCs w:val="23"/>
        </w:rPr>
      </w:pPr>
      <w:r>
        <w:rPr>
          <w:sz w:val="23"/>
          <w:szCs w:val="23"/>
        </w:rPr>
        <w:t>S</w:t>
      </w:r>
      <w:r w:rsidRPr="00D64B0E">
        <w:rPr>
          <w:sz w:val="23"/>
          <w:szCs w:val="23"/>
        </w:rPr>
        <w:t xml:space="preserve">trong loan underwriting and demonstrated portfolio management expertise </w:t>
      </w:r>
      <w:r w:rsidR="00980C6D">
        <w:rPr>
          <w:sz w:val="23"/>
          <w:szCs w:val="23"/>
        </w:rPr>
        <w:t>that include</w:t>
      </w:r>
      <w:r w:rsidRPr="00D64B0E">
        <w:rPr>
          <w:sz w:val="23"/>
          <w:szCs w:val="23"/>
        </w:rPr>
        <w:t xml:space="preserve">: </w:t>
      </w:r>
    </w:p>
    <w:p w:rsidR="00D64B0E" w:rsidRPr="00D64B0E" w:rsidRDefault="00D64B0E" w:rsidP="00251692">
      <w:pPr>
        <w:pStyle w:val="ListParagraph"/>
        <w:numPr>
          <w:ilvl w:val="1"/>
          <w:numId w:val="225"/>
        </w:numPr>
        <w:spacing w:after="120"/>
        <w:contextualSpacing w:val="0"/>
        <w:rPr>
          <w:sz w:val="23"/>
          <w:szCs w:val="23"/>
        </w:rPr>
      </w:pPr>
      <w:r w:rsidRPr="00D64B0E">
        <w:rPr>
          <w:sz w:val="23"/>
          <w:szCs w:val="23"/>
        </w:rPr>
        <w:t>Appropriate lending, accounting, and legal expertise</w:t>
      </w:r>
    </w:p>
    <w:p w:rsidR="00D64B0E" w:rsidRPr="00D64B0E" w:rsidRDefault="00D64B0E" w:rsidP="00251692">
      <w:pPr>
        <w:pStyle w:val="ListParagraph"/>
        <w:numPr>
          <w:ilvl w:val="1"/>
          <w:numId w:val="225"/>
        </w:numPr>
        <w:spacing w:after="120"/>
        <w:contextualSpacing w:val="0"/>
        <w:rPr>
          <w:sz w:val="23"/>
          <w:szCs w:val="23"/>
        </w:rPr>
      </w:pPr>
      <w:r w:rsidRPr="00D64B0E">
        <w:rPr>
          <w:sz w:val="23"/>
          <w:szCs w:val="23"/>
        </w:rPr>
        <w:t>Appropriate policies, procedures, quality and internal controls</w:t>
      </w:r>
    </w:p>
    <w:p w:rsidR="00D64B0E" w:rsidRPr="00D64B0E" w:rsidRDefault="00D64B0E" w:rsidP="00251692">
      <w:pPr>
        <w:pStyle w:val="ListParagraph"/>
        <w:numPr>
          <w:ilvl w:val="1"/>
          <w:numId w:val="225"/>
        </w:numPr>
        <w:spacing w:after="120"/>
        <w:contextualSpacing w:val="0"/>
        <w:rPr>
          <w:sz w:val="23"/>
          <w:szCs w:val="23"/>
        </w:rPr>
      </w:pPr>
      <w:r w:rsidRPr="00D64B0E">
        <w:rPr>
          <w:sz w:val="23"/>
          <w:szCs w:val="23"/>
        </w:rPr>
        <w:t>Effective portfolio monitoring techniques, scaled to the size and complexity of the portfolio and types of credit in the portfolio</w:t>
      </w:r>
    </w:p>
    <w:p w:rsidR="00D64B0E" w:rsidRPr="00D64B0E" w:rsidRDefault="00D64B0E" w:rsidP="00251692">
      <w:pPr>
        <w:pStyle w:val="ListParagraph"/>
        <w:numPr>
          <w:ilvl w:val="1"/>
          <w:numId w:val="225"/>
        </w:numPr>
        <w:spacing w:after="120"/>
        <w:contextualSpacing w:val="0"/>
        <w:rPr>
          <w:sz w:val="23"/>
          <w:szCs w:val="23"/>
        </w:rPr>
      </w:pPr>
      <w:r w:rsidRPr="00D64B0E">
        <w:rPr>
          <w:sz w:val="23"/>
          <w:szCs w:val="23"/>
        </w:rPr>
        <w:t>Effective, well developed, corporate governance practices</w:t>
      </w:r>
    </w:p>
    <w:p w:rsidR="00D64B0E" w:rsidRPr="00D64B0E" w:rsidRDefault="00D64B0E" w:rsidP="00251692">
      <w:pPr>
        <w:pStyle w:val="ListParagraph"/>
        <w:numPr>
          <w:ilvl w:val="1"/>
          <w:numId w:val="225"/>
        </w:numPr>
        <w:spacing w:after="120"/>
        <w:contextualSpacing w:val="0"/>
        <w:rPr>
          <w:sz w:val="23"/>
          <w:szCs w:val="23"/>
        </w:rPr>
      </w:pPr>
      <w:r w:rsidRPr="00D64B0E">
        <w:rPr>
          <w:sz w:val="23"/>
          <w:szCs w:val="23"/>
        </w:rPr>
        <w:t>Sufficient levels of net worth consistent with the size, concentrations, and complexity of risks present in the credit unions business model</w:t>
      </w:r>
    </w:p>
    <w:p w:rsidR="00D64B0E" w:rsidRPr="00D64B0E" w:rsidRDefault="00D64B0E" w:rsidP="00D64B0E">
      <w:pPr>
        <w:rPr>
          <w:sz w:val="23"/>
          <w:szCs w:val="23"/>
        </w:rPr>
      </w:pPr>
    </w:p>
    <w:p w:rsidR="00D64B0E" w:rsidRDefault="00D64B0E" w:rsidP="00D64B0E">
      <w:pPr>
        <w:rPr>
          <w:sz w:val="23"/>
          <w:szCs w:val="23"/>
        </w:rPr>
      </w:pPr>
      <w:r>
        <w:rPr>
          <w:sz w:val="23"/>
          <w:szCs w:val="23"/>
        </w:rPr>
        <w:t>C</w:t>
      </w:r>
      <w:r w:rsidRPr="00D64B0E">
        <w:rPr>
          <w:sz w:val="23"/>
          <w:szCs w:val="23"/>
        </w:rPr>
        <w:t>onsideration</w:t>
      </w:r>
      <w:r>
        <w:rPr>
          <w:sz w:val="23"/>
          <w:szCs w:val="23"/>
        </w:rPr>
        <w:t>s</w:t>
      </w:r>
      <w:r w:rsidRPr="00D64B0E">
        <w:rPr>
          <w:sz w:val="23"/>
          <w:szCs w:val="23"/>
        </w:rPr>
        <w:t xml:space="preserve"> of applications for waiver of the single borrower concentration limit:</w:t>
      </w:r>
    </w:p>
    <w:p w:rsidR="00D64B0E" w:rsidRDefault="00D64B0E" w:rsidP="00D64B0E">
      <w:pPr>
        <w:rPr>
          <w:sz w:val="23"/>
          <w:szCs w:val="23"/>
        </w:rPr>
      </w:pPr>
    </w:p>
    <w:p w:rsidR="001633D4" w:rsidRDefault="001633D4" w:rsidP="00251692">
      <w:pPr>
        <w:pStyle w:val="ListParagraph"/>
        <w:numPr>
          <w:ilvl w:val="0"/>
          <w:numId w:val="226"/>
        </w:numPr>
        <w:spacing w:after="120"/>
        <w:contextualSpacing w:val="0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 w:rsidRPr="00D64B0E">
        <w:rPr>
          <w:sz w:val="23"/>
          <w:szCs w:val="23"/>
        </w:rPr>
        <w:t>creditworthiness of the borrower as evidenced by appropriate underwriting and risk evaluation procedures for the type of credit</w:t>
      </w:r>
    </w:p>
    <w:p w:rsidR="001633D4" w:rsidRDefault="001633D4" w:rsidP="00251692">
      <w:pPr>
        <w:pStyle w:val="ListParagraph"/>
        <w:numPr>
          <w:ilvl w:val="0"/>
          <w:numId w:val="226"/>
        </w:numPr>
        <w:spacing w:after="120"/>
        <w:contextualSpacing w:val="0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 w:rsidRPr="00D64B0E">
        <w:rPr>
          <w:sz w:val="23"/>
          <w:szCs w:val="23"/>
        </w:rPr>
        <w:t>quality underwriting for loans previously granted to the specified borrower</w:t>
      </w:r>
    </w:p>
    <w:p w:rsidR="001633D4" w:rsidRPr="00251692" w:rsidRDefault="001633D4" w:rsidP="00251692">
      <w:pPr>
        <w:pStyle w:val="ListParagraph"/>
        <w:numPr>
          <w:ilvl w:val="0"/>
          <w:numId w:val="226"/>
        </w:numPr>
        <w:spacing w:after="120"/>
        <w:contextualSpacing w:val="0"/>
        <w:rPr>
          <w:sz w:val="23"/>
          <w:szCs w:val="23"/>
        </w:rPr>
      </w:pPr>
      <w:r>
        <w:rPr>
          <w:sz w:val="23"/>
          <w:szCs w:val="23"/>
        </w:rPr>
        <w:t xml:space="preserve">How </w:t>
      </w:r>
      <w:r w:rsidRPr="00D64B0E">
        <w:rPr>
          <w:sz w:val="23"/>
          <w:szCs w:val="23"/>
        </w:rPr>
        <w:t>effectively the credit union appropriately segregates and monitors performance of loans that previously received waivers</w:t>
      </w:r>
    </w:p>
    <w:p w:rsidR="00D64B0E" w:rsidRPr="00D64B0E" w:rsidRDefault="00D64B0E" w:rsidP="00D64B0E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:rsidR="00FF6960" w:rsidRPr="00EA0FE3" w:rsidRDefault="00FF6960" w:rsidP="00FF6960">
      <w:pPr>
        <w:pStyle w:val="BodyText"/>
        <w:spacing w:after="0"/>
        <w:rPr>
          <w:b/>
          <w:bCs/>
          <w:szCs w:val="24"/>
        </w:rPr>
      </w:pPr>
      <w:r w:rsidRPr="00EA0FE3">
        <w:rPr>
          <w:b/>
          <w:bCs/>
          <w:szCs w:val="24"/>
        </w:rPr>
        <w:t>Other pertinent information</w:t>
      </w:r>
    </w:p>
    <w:p w:rsidR="00FF6960" w:rsidRPr="00EA0FE3" w:rsidRDefault="00FF6960" w:rsidP="00FF6960">
      <w:pPr>
        <w:pStyle w:val="H3P"/>
        <w:ind w:left="0"/>
        <w:rPr>
          <w:rFonts w:cs="Times New Roman"/>
        </w:rPr>
      </w:pPr>
      <w:r w:rsidRPr="00EA0FE3">
        <w:rPr>
          <w:rFonts w:cs="Times New Roman"/>
        </w:rPr>
        <w:t>The review should also include:</w:t>
      </w:r>
    </w:p>
    <w:p w:rsidR="00FF6960" w:rsidRPr="00EA0FE3" w:rsidRDefault="00FF6960" w:rsidP="00FF6960">
      <w:pPr>
        <w:rPr>
          <w:rFonts w:cs="Times New Roman"/>
        </w:rPr>
      </w:pPr>
    </w:p>
    <w:p w:rsidR="00FF6960" w:rsidRPr="001633D4" w:rsidRDefault="00FF6960" w:rsidP="00251692">
      <w:pPr>
        <w:pStyle w:val="H3B"/>
        <w:spacing w:after="120"/>
        <w:ind w:left="720"/>
        <w:contextualSpacing w:val="0"/>
      </w:pPr>
      <w:r w:rsidRPr="00EA0FE3">
        <w:t xml:space="preserve">The ability to manage the </w:t>
      </w:r>
      <w:r w:rsidR="004A4D1E">
        <w:t>loan participation</w:t>
      </w:r>
      <w:r w:rsidRPr="00EA0FE3">
        <w:t xml:space="preserve"> program including current performance</w:t>
      </w:r>
    </w:p>
    <w:p w:rsidR="00FF6960" w:rsidRPr="00EA0FE3" w:rsidRDefault="00FF6960" w:rsidP="00251692">
      <w:pPr>
        <w:pStyle w:val="H3B"/>
        <w:spacing w:after="120"/>
        <w:ind w:left="720"/>
        <w:contextualSpacing w:val="0"/>
      </w:pPr>
      <w:r w:rsidRPr="00EA0FE3">
        <w:t>A review of the previous examination report to</w:t>
      </w:r>
      <w:r w:rsidR="004A4D1E">
        <w:t xml:space="preserve"> determine if weaknesses in participation lending exist</w:t>
      </w:r>
    </w:p>
    <w:p w:rsidR="00FF6960" w:rsidRPr="00EA0FE3" w:rsidRDefault="00FF6960" w:rsidP="00FF6960">
      <w:pPr>
        <w:rPr>
          <w:rFonts w:cs="Times New Roman"/>
        </w:rPr>
      </w:pPr>
    </w:p>
    <w:p w:rsidR="00FF6960" w:rsidRPr="00EA0FE3" w:rsidRDefault="00FF6960" w:rsidP="00FF6960">
      <w:pPr>
        <w:pStyle w:val="BodyText"/>
        <w:spacing w:after="0"/>
        <w:rPr>
          <w:bCs/>
          <w:szCs w:val="22"/>
        </w:rPr>
      </w:pPr>
    </w:p>
    <w:p w:rsidR="00FF6960" w:rsidRPr="00EA0FE3" w:rsidRDefault="00FF6960" w:rsidP="00FF6960">
      <w:pPr>
        <w:pStyle w:val="BodyText"/>
        <w:spacing w:after="0"/>
        <w:rPr>
          <w:b/>
          <w:bCs/>
          <w:szCs w:val="24"/>
        </w:rPr>
      </w:pPr>
      <w:proofErr w:type="spellStart"/>
      <w:r w:rsidRPr="00EA0FE3">
        <w:rPr>
          <w:b/>
          <w:bCs/>
          <w:szCs w:val="24"/>
        </w:rPr>
        <w:t>SSA</w:t>
      </w:r>
      <w:proofErr w:type="spellEnd"/>
      <w:r w:rsidRPr="00EA0FE3">
        <w:rPr>
          <w:b/>
          <w:bCs/>
          <w:szCs w:val="24"/>
        </w:rPr>
        <w:t xml:space="preserve"> concurrence (if state-chartered):</w:t>
      </w:r>
    </w:p>
    <w:p w:rsidR="00FF6960" w:rsidRPr="00EA0FE3" w:rsidRDefault="00FF6960" w:rsidP="00FF6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6960" w:rsidRPr="00EA0FE3" w:rsidRDefault="00FF6960" w:rsidP="00FF69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cs="Times New Roman"/>
          <w:b/>
        </w:rPr>
      </w:pPr>
      <w:r w:rsidRPr="00EA0FE3">
        <w:rPr>
          <w:rFonts w:cs="Times New Roman"/>
          <w:b/>
        </w:rPr>
        <w:t>EXAMINERS AND SUPERVISOR RECOMMENDATIONS AND COMMENTS:</w:t>
      </w:r>
    </w:p>
    <w:p w:rsidR="00FF6960" w:rsidRPr="00EA0FE3" w:rsidRDefault="00FF6960" w:rsidP="00FF6960">
      <w:pPr>
        <w:rPr>
          <w:rFonts w:cs="Times New Roman"/>
          <w:i/>
        </w:rPr>
      </w:pPr>
    </w:p>
    <w:p w:rsidR="00FF6960" w:rsidRPr="00EA0FE3" w:rsidRDefault="00FF6960" w:rsidP="00FF6960">
      <w:pPr>
        <w:rPr>
          <w:rFonts w:cs="Times New Roman"/>
          <w:i/>
        </w:rPr>
      </w:pPr>
      <w:r w:rsidRPr="00EA0FE3">
        <w:rPr>
          <w:rFonts w:cs="Times New Roman"/>
          <w:i/>
        </w:rPr>
        <w:t>Examiner’s Recommendation:</w:t>
      </w:r>
    </w:p>
    <w:p w:rsidR="00FF6960" w:rsidRPr="00EA0FE3" w:rsidRDefault="00FF6960" w:rsidP="00FF6960">
      <w:pPr>
        <w:rPr>
          <w:rFonts w:cs="Times New Roman"/>
          <w:i/>
        </w:rPr>
      </w:pPr>
    </w:p>
    <w:p w:rsidR="00FF6960" w:rsidRPr="00EA0FE3" w:rsidRDefault="00FF6960" w:rsidP="00FF6960">
      <w:pPr>
        <w:rPr>
          <w:rFonts w:cs="Times New Roman"/>
          <w:i/>
        </w:rPr>
      </w:pPr>
    </w:p>
    <w:p w:rsidR="00FF6960" w:rsidRPr="00EA0FE3" w:rsidRDefault="00FF6960" w:rsidP="00FF6960">
      <w:pPr>
        <w:rPr>
          <w:rFonts w:cs="Times New Roman"/>
          <w:i/>
        </w:rPr>
      </w:pPr>
      <w:r w:rsidRPr="00EA0FE3">
        <w:rPr>
          <w:rFonts w:cs="Times New Roman"/>
          <w:i/>
        </w:rPr>
        <w:t>Supervisor Concurrence:</w:t>
      </w:r>
    </w:p>
    <w:p w:rsidR="00FF6960" w:rsidRPr="00EA0FE3" w:rsidRDefault="00FF6960" w:rsidP="00FF6960">
      <w:pPr>
        <w:rPr>
          <w:rFonts w:cs="Times New Roman"/>
          <w:i/>
        </w:rPr>
      </w:pPr>
    </w:p>
    <w:p w:rsidR="00FF6960" w:rsidRPr="00EA0FE3" w:rsidRDefault="00FF6960" w:rsidP="00FF6960">
      <w:pPr>
        <w:rPr>
          <w:rFonts w:cs="Times New Roman"/>
        </w:rPr>
      </w:pPr>
    </w:p>
    <w:p w:rsidR="00FF6960" w:rsidRPr="00EA0FE3" w:rsidRDefault="00FF6960" w:rsidP="00FF69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cs="Times New Roman"/>
          <w:b/>
        </w:rPr>
      </w:pPr>
      <w:r w:rsidRPr="00EA0FE3">
        <w:rPr>
          <w:rFonts w:cs="Times New Roman"/>
          <w:b/>
        </w:rPr>
        <w:lastRenderedPageBreak/>
        <w:t>APPROVAL/DENIAL RECOMMENDATIONS</w:t>
      </w:r>
    </w:p>
    <w:p w:rsidR="00FF6960" w:rsidRPr="00EA0FE3" w:rsidRDefault="00FF6960" w:rsidP="00FF6960">
      <w:pPr>
        <w:rPr>
          <w:rFonts w:cs="Times New Roman"/>
        </w:rPr>
      </w:pPr>
    </w:p>
    <w:p w:rsidR="00FF6960" w:rsidRPr="00EA0FE3" w:rsidRDefault="00FF6960" w:rsidP="00FF6960">
      <w:pPr>
        <w:rPr>
          <w:rFonts w:cs="Times New Roman"/>
        </w:rPr>
      </w:pPr>
      <w:r w:rsidRPr="00EA0FE3">
        <w:rPr>
          <w:rFonts w:cs="Times New Roman"/>
          <w:b/>
        </w:rPr>
        <w:t>Analyst Comments:</w:t>
      </w:r>
    </w:p>
    <w:p w:rsidR="00FF6960" w:rsidRPr="00EA0FE3" w:rsidRDefault="00FF6960" w:rsidP="00FF6960">
      <w:pPr>
        <w:rPr>
          <w:rFonts w:cs="Times New Roman"/>
        </w:rPr>
      </w:pPr>
    </w:p>
    <w:p w:rsidR="00FF6960" w:rsidRPr="00EA0FE3" w:rsidRDefault="00FF6960" w:rsidP="00FF6960">
      <w:pPr>
        <w:rPr>
          <w:rFonts w:cs="Times New Roman"/>
        </w:rPr>
      </w:pPr>
    </w:p>
    <w:p w:rsidR="00FF6960" w:rsidRPr="00EA0FE3" w:rsidRDefault="00FF6960" w:rsidP="00FF6960">
      <w:pPr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FF6960" w:rsidRPr="00EA0FE3" w:rsidTr="00D56FA6">
        <w:tc>
          <w:tcPr>
            <w:tcW w:w="2250" w:type="dxa"/>
            <w:shd w:val="clear" w:color="auto" w:fill="auto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  <w:shd w:val="clear" w:color="auto" w:fill="auto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FF6960" w:rsidRPr="00EA0FE3" w:rsidRDefault="00FF6960" w:rsidP="00FF6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6960" w:rsidRPr="00EA0FE3" w:rsidRDefault="00FF6960" w:rsidP="00FF6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 xml:space="preserve">Supervision Analyst </w:t>
      </w:r>
      <w:r w:rsidRPr="00EA0FE3">
        <w:rPr>
          <w:rFonts w:cs="Times New Roman"/>
        </w:rPr>
        <w:tab/>
        <w:t xml:space="preserve">________________________ </w:t>
      </w:r>
      <w:r w:rsidRPr="00EA0FE3">
        <w:rPr>
          <w:rFonts w:cs="Times New Roman"/>
        </w:rPr>
        <w:tab/>
        <w:t>Date________________</w:t>
      </w:r>
    </w:p>
    <w:p w:rsidR="00FF6960" w:rsidRPr="00EA0FE3" w:rsidRDefault="00FF6960" w:rsidP="00FF6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FF6960" w:rsidRPr="00EA0FE3" w:rsidTr="00D56FA6">
        <w:tc>
          <w:tcPr>
            <w:tcW w:w="2250" w:type="dxa"/>
            <w:shd w:val="clear" w:color="auto" w:fill="auto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  <w:shd w:val="clear" w:color="auto" w:fill="auto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FF6960" w:rsidRPr="00EA0FE3" w:rsidRDefault="00FF6960" w:rsidP="00FF6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6960" w:rsidRPr="00EA0FE3" w:rsidRDefault="00FF6960" w:rsidP="00FF6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>Director of Supervision _______________________</w:t>
      </w:r>
      <w:r w:rsidRPr="00EA0FE3">
        <w:rPr>
          <w:rFonts w:cs="Times New Roman"/>
        </w:rPr>
        <w:tab/>
        <w:t>Date________________</w:t>
      </w:r>
    </w:p>
    <w:p w:rsidR="00FF6960" w:rsidRPr="00EA0FE3" w:rsidRDefault="00FF6960" w:rsidP="00FF6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FF6960" w:rsidRPr="00EA0FE3" w:rsidTr="00D56FA6">
        <w:tc>
          <w:tcPr>
            <w:tcW w:w="2250" w:type="dxa"/>
            <w:shd w:val="clear" w:color="auto" w:fill="auto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  <w:shd w:val="clear" w:color="auto" w:fill="auto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FF6960" w:rsidRPr="00EA0FE3" w:rsidRDefault="00FF6960" w:rsidP="00FF6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6960" w:rsidRPr="00EA0FE3" w:rsidRDefault="00FF6960" w:rsidP="00FF6960">
      <w:pPr>
        <w:tabs>
          <w:tab w:val="left" w:pos="720"/>
          <w:tab w:val="left" w:pos="1440"/>
          <w:tab w:val="left" w:pos="2160"/>
          <w:tab w:val="left" w:pos="252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>Associate Regional Director ___________________</w:t>
      </w:r>
      <w:r w:rsidRPr="00EA0FE3">
        <w:rPr>
          <w:rFonts w:cs="Times New Roman"/>
        </w:rPr>
        <w:tab/>
        <w:t>Date________________</w:t>
      </w:r>
    </w:p>
    <w:p w:rsidR="00FF6960" w:rsidRPr="00EA0FE3" w:rsidRDefault="00FF6960" w:rsidP="00FF6960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6960" w:rsidRPr="00EA0FE3" w:rsidRDefault="00FF6960" w:rsidP="00FF6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FF6960" w:rsidRPr="00EA0FE3" w:rsidTr="00D56FA6">
        <w:tc>
          <w:tcPr>
            <w:tcW w:w="2250" w:type="dxa"/>
            <w:shd w:val="clear" w:color="auto" w:fill="auto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  <w:shd w:val="clear" w:color="auto" w:fill="auto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960" w:rsidRPr="00EA0FE3" w:rsidRDefault="00FF6960" w:rsidP="00D56F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FF6960" w:rsidRPr="00EA0FE3" w:rsidRDefault="00FF6960" w:rsidP="00FF6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6960" w:rsidRPr="00EA0FE3" w:rsidRDefault="00FF6960" w:rsidP="00FF6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>Regional Director</w:t>
      </w:r>
      <w:r w:rsidRPr="00EA0FE3">
        <w:rPr>
          <w:rFonts w:cs="Times New Roman"/>
        </w:rPr>
        <w:tab/>
      </w:r>
      <w:r w:rsidRPr="00EA0FE3">
        <w:rPr>
          <w:rFonts w:cs="Times New Roman"/>
        </w:rPr>
        <w:tab/>
        <w:t>___________________</w:t>
      </w:r>
      <w:r w:rsidRPr="00EA0FE3">
        <w:rPr>
          <w:rFonts w:cs="Times New Roman"/>
        </w:rPr>
        <w:tab/>
        <w:t>Date________________</w:t>
      </w:r>
    </w:p>
    <w:sectPr w:rsidR="00FF6960" w:rsidRPr="00EA0FE3" w:rsidSect="00A047C4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E30" w:rsidRDefault="00632E30" w:rsidP="00003698">
      <w:r>
        <w:separator/>
      </w:r>
    </w:p>
  </w:endnote>
  <w:endnote w:type="continuationSeparator" w:id="0">
    <w:p w:rsidR="00632E30" w:rsidRDefault="00632E30" w:rsidP="00003698">
      <w:r>
        <w:continuationSeparator/>
      </w:r>
    </w:p>
  </w:endnote>
  <w:endnote w:type="continuationNotice" w:id="1">
    <w:p w:rsidR="00632E30" w:rsidRDefault="00632E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E30" w:rsidRDefault="00632E30" w:rsidP="00003698">
      <w:r>
        <w:separator/>
      </w:r>
    </w:p>
  </w:footnote>
  <w:footnote w:type="continuationSeparator" w:id="0">
    <w:p w:rsidR="00632E30" w:rsidRDefault="00632E30" w:rsidP="00003698">
      <w:r>
        <w:continuationSeparator/>
      </w:r>
    </w:p>
  </w:footnote>
  <w:footnote w:type="continuationNotice" w:id="1">
    <w:p w:rsidR="00632E30" w:rsidRDefault="00632E3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Pr="00880AA3" w:rsidRDefault="00A047C4" w:rsidP="00880AA3">
    <w:pPr>
      <w:pStyle w:val="Heading1"/>
    </w:pPr>
    <w:bookmarkStart w:id="1" w:name="_Toc410730886"/>
    <w:bookmarkStart w:id="2" w:name="appendix6ww"/>
    <w:r>
      <w:t>TEMPLATE</w:t>
    </w:r>
    <w:r w:rsidR="00880AA3">
      <w:t>:</w:t>
    </w:r>
    <w:bookmarkStart w:id="3" w:name="_Toc374715996"/>
    <w:bookmarkStart w:id="4" w:name="_Toc378338599"/>
    <w:r w:rsidR="00880AA3">
      <w:t xml:space="preserve"> </w:t>
    </w:r>
    <w:r>
      <w:t xml:space="preserve">Regional Summary of </w:t>
    </w:r>
    <w:r w:rsidR="00880AA3">
      <w:t>Loan Participation Limit Waiver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523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2E30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0AA3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7C4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2E7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BB5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8429CF75-821A-49B5-8EA6-FC96F5189D9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06CD1C2-57B5-409F-9C3C-21166BE0B008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425B0E7-C159-4A97-8692-CB696B7FB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2015-02-03T21:08:00Z</dcterms:created>
  <dcterms:modified xsi:type="dcterms:W3CDTF">2015-02-12T21:38:00Z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