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4A" w:rsidRPr="00EA0FE3" w:rsidRDefault="00D5274D" w:rsidP="00251692">
      <w:pPr>
        <w:tabs>
          <w:tab w:val="left" w:pos="4320"/>
        </w:tabs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53101B" w:rsidRDefault="00FF354A" w:rsidP="00FF354A">
      <w:pPr>
        <w:rPr>
          <w:rFonts w:cs="Times New Roman"/>
          <w:szCs w:val="24"/>
        </w:rPr>
      </w:pPr>
      <w:r w:rsidRPr="0053101B">
        <w:rPr>
          <w:rFonts w:cs="Times New Roman"/>
          <w:szCs w:val="24"/>
        </w:rPr>
        <w:t>SENT VIA FEDEX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53101B" w:rsidRDefault="0053101B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D5274D" w:rsidRPr="00EA0FE3" w:rsidRDefault="00D5274D" w:rsidP="00D5274D">
      <w:pPr>
        <w:pStyle w:val="InsideAddress"/>
        <w:rPr>
          <w:sz w:val="24"/>
          <w:szCs w:val="24"/>
        </w:rPr>
      </w:pPr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i/>
          <w:szCs w:val="24"/>
        </w:rPr>
      </w:pPr>
      <w:r w:rsidRPr="00EA0FE3">
        <w:rPr>
          <w:rFonts w:cs="Times New Roman"/>
          <w:szCs w:val="24"/>
        </w:rPr>
        <w:t xml:space="preserve">We received your [ DATE ] letter on [ DATE ] requesting an exemption from the </w:t>
      </w:r>
      <w:r w:rsidR="00622C58" w:rsidRPr="00EA0FE3">
        <w:rPr>
          <w:rFonts w:cs="Times New Roman"/>
          <w:szCs w:val="24"/>
        </w:rPr>
        <w:t>nonmember</w:t>
      </w:r>
      <w:r w:rsidRPr="00EA0FE3">
        <w:rPr>
          <w:rFonts w:cs="Times New Roman"/>
          <w:szCs w:val="24"/>
        </w:rPr>
        <w:t xml:space="preserve"> deposit limitations of Section 701.32(b)(1) of the NCUA </w:t>
      </w:r>
      <w:r w:rsidR="0017666A">
        <w:rPr>
          <w:rFonts w:cs="Times New Roman"/>
          <w:szCs w:val="24"/>
        </w:rPr>
        <w:t>r</w:t>
      </w:r>
      <w:r w:rsidRPr="00EA0FE3">
        <w:rPr>
          <w:rFonts w:cs="Times New Roman"/>
          <w:szCs w:val="24"/>
        </w:rPr>
        <w:t xml:space="preserve">ules and </w:t>
      </w:r>
      <w:r w:rsidR="0017666A">
        <w:rPr>
          <w:rFonts w:cs="Times New Roman"/>
          <w:szCs w:val="24"/>
        </w:rPr>
        <w:t>r</w:t>
      </w:r>
      <w:r w:rsidRPr="00EA0FE3">
        <w:rPr>
          <w:rFonts w:cs="Times New Roman"/>
          <w:szCs w:val="24"/>
        </w:rPr>
        <w:t xml:space="preserve">egulations, which limits payment on shares from public unit and nonmembers to 20 percent of total shares </w:t>
      </w:r>
      <w:r w:rsidR="0016760A">
        <w:rPr>
          <w:rFonts w:cs="Times New Roman"/>
          <w:szCs w:val="24"/>
        </w:rPr>
        <w:t xml:space="preserve">and deposits </w:t>
      </w:r>
      <w:r w:rsidRPr="00EA0FE3">
        <w:rPr>
          <w:rFonts w:cs="Times New Roman"/>
          <w:szCs w:val="24"/>
        </w:rPr>
        <w:t>or $</w:t>
      </w:r>
      <w:r w:rsidR="00997CF7">
        <w:rPr>
          <w:rFonts w:cs="Times New Roman"/>
          <w:szCs w:val="24"/>
        </w:rPr>
        <w:t>3</w:t>
      </w:r>
      <w:r w:rsidRPr="00EA0FE3">
        <w:rPr>
          <w:rFonts w:cs="Times New Roman"/>
          <w:szCs w:val="24"/>
        </w:rPr>
        <w:t xml:space="preserve"> million, whichever is greater.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[</w:t>
      </w:r>
      <w:r w:rsidRPr="00EA0FE3">
        <w:rPr>
          <w:rFonts w:cs="Times New Roman"/>
          <w:i/>
          <w:szCs w:val="24"/>
        </w:rPr>
        <w:t xml:space="preserve">For state credit unions, add </w:t>
      </w:r>
      <w:r w:rsidR="00FC3BAD" w:rsidRPr="00EA0FE3">
        <w:rPr>
          <w:rFonts w:cs="Times New Roman"/>
          <w:szCs w:val="24"/>
        </w:rPr>
        <w:t>[name]</w:t>
      </w:r>
      <w:r w:rsidRPr="00EA0FE3">
        <w:rPr>
          <w:rFonts w:cs="Times New Roman"/>
          <w:szCs w:val="24"/>
        </w:rPr>
        <w:t xml:space="preserve"> Credit Union is subject to the limitations p</w:t>
      </w:r>
      <w:r w:rsidR="005D3655">
        <w:rPr>
          <w:rFonts w:cs="Times New Roman"/>
          <w:szCs w:val="24"/>
        </w:rPr>
        <w:t>er Section 741.204 of the NCUA r</w:t>
      </w:r>
      <w:r w:rsidRPr="00EA0FE3">
        <w:rPr>
          <w:rFonts w:cs="Times New Roman"/>
          <w:szCs w:val="24"/>
        </w:rPr>
        <w:t>egulations.]</w:t>
      </w:r>
    </w:p>
    <w:p w:rsidR="004864C3" w:rsidRPr="00EA0FE3" w:rsidRDefault="004864C3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We cannot approve your request at this time. [DESCRIBE REASON FOR </w:t>
      </w:r>
      <w:r w:rsidR="00F51F12" w:rsidRPr="00EA0FE3">
        <w:rPr>
          <w:rFonts w:cs="Times New Roman"/>
          <w:szCs w:val="24"/>
        </w:rPr>
        <w:t>DENIAL</w:t>
      </w:r>
      <w:r w:rsidRPr="00EA0FE3">
        <w:rPr>
          <w:rFonts w:cs="Times New Roman"/>
          <w:szCs w:val="24"/>
        </w:rPr>
        <w:t>]</w:t>
      </w:r>
    </w:p>
    <w:p w:rsidR="004864C3" w:rsidRPr="00EA0FE3" w:rsidRDefault="004864C3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We expect you to reduce the credit union’s nonmember deposits to the regulatory limitation within thirty days of </w:t>
      </w:r>
      <w:r w:rsidR="00990E7C">
        <w:rPr>
          <w:rFonts w:cs="Times New Roman"/>
          <w:szCs w:val="24"/>
        </w:rPr>
        <w:t>receiving</w:t>
      </w:r>
      <w:r w:rsidR="00990E7C" w:rsidRPr="00EA0FE3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this letter.</w:t>
      </w:r>
    </w:p>
    <w:p w:rsidR="00F06780" w:rsidRPr="00EA0FE3" w:rsidRDefault="00F06780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bookmarkStart w:id="0" w:name="_GoBack"/>
      <w:r w:rsidRPr="00EA0FE3">
        <w:rPr>
          <w:rFonts w:cs="Times New Roman"/>
          <w:szCs w:val="24"/>
        </w:rPr>
        <w:t xml:space="preserve">You may appeal this decision to the </w:t>
      </w:r>
      <w:r w:rsidR="00847C4F" w:rsidRPr="00EA0FE3">
        <w:rPr>
          <w:rFonts w:cs="Times New Roman"/>
          <w:szCs w:val="24"/>
        </w:rPr>
        <w:t>NCUA Board</w:t>
      </w:r>
      <w:r w:rsidRPr="00EA0FE3">
        <w:rPr>
          <w:rFonts w:cs="Times New Roman"/>
          <w:szCs w:val="24"/>
        </w:rPr>
        <w:t xml:space="preserve"> through this office.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Please see Section </w:t>
      </w:r>
      <w:bookmarkEnd w:id="0"/>
      <w:r w:rsidRPr="00EA0FE3">
        <w:rPr>
          <w:rFonts w:cs="Times New Roman"/>
          <w:szCs w:val="24"/>
        </w:rPr>
        <w:t>701.32(b</w:t>
      </w:r>
      <w:proofErr w:type="gramStart"/>
      <w:r w:rsidRPr="00EA0FE3">
        <w:rPr>
          <w:rFonts w:cs="Times New Roman"/>
          <w:szCs w:val="24"/>
        </w:rPr>
        <w:t>)(</w:t>
      </w:r>
      <w:proofErr w:type="gramEnd"/>
      <w:r w:rsidRPr="00EA0FE3">
        <w:rPr>
          <w:rFonts w:cs="Times New Roman"/>
          <w:szCs w:val="24"/>
        </w:rPr>
        <w:t xml:space="preserve">2)(iv)(5) of the </w:t>
      </w:r>
      <w:r w:rsidR="0016760A">
        <w:rPr>
          <w:rFonts w:cs="Times New Roman"/>
          <w:szCs w:val="24"/>
        </w:rPr>
        <w:t>regulation</w:t>
      </w:r>
      <w:r w:rsidRPr="00EA0FE3">
        <w:rPr>
          <w:rFonts w:cs="Times New Roman"/>
          <w:szCs w:val="24"/>
        </w:rPr>
        <w:t xml:space="preserve"> for the appeals process.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If you choose to appeal, submit your appeal request in a timely manner, providing specific reasons why you believe your request should be approved.</w:t>
      </w:r>
    </w:p>
    <w:p w:rsidR="004864C3" w:rsidRPr="00EA0FE3" w:rsidRDefault="004864C3" w:rsidP="00FF354A">
      <w:pPr>
        <w:rPr>
          <w:rFonts w:cs="Times New Roman"/>
          <w:i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i/>
          <w:szCs w:val="24"/>
        </w:rPr>
        <w:t>OR</w:t>
      </w:r>
    </w:p>
    <w:p w:rsidR="004864C3" w:rsidRPr="00EA0FE3" w:rsidRDefault="004864C3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Although you exceeded the limitation without prior approval, we are willing to allow the credit union to hold the excess nonmember deposits based on the recommendation of Examiner [</w:t>
      </w:r>
      <w:r w:rsidR="00FC3BAD" w:rsidRPr="00EA0FE3">
        <w:rPr>
          <w:rFonts w:cs="Times New Roman"/>
          <w:szCs w:val="24"/>
        </w:rPr>
        <w:t>examiner name</w:t>
      </w:r>
      <w:r w:rsidRPr="00EA0FE3">
        <w:rPr>
          <w:rFonts w:cs="Times New Roman"/>
          <w:szCs w:val="24"/>
        </w:rPr>
        <w:t>].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However, all future exemption requests must be made prior to accepting nonmember deposits above the regulatory limitation.</w:t>
      </w:r>
    </w:p>
    <w:p w:rsidR="004864C3" w:rsidRPr="00EA0FE3" w:rsidRDefault="004864C3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This exemption authorizes you to accept nonmember deposits up to a maximum limit of [SPECIFY A PERCENT</w:t>
      </w:r>
      <w:r w:rsidR="00F06780" w:rsidRPr="00EA0FE3">
        <w:rPr>
          <w:rFonts w:cs="Times New Roman"/>
          <w:szCs w:val="24"/>
        </w:rPr>
        <w:t>AGE</w:t>
      </w:r>
      <w:r w:rsidRPr="00EA0FE3">
        <w:rPr>
          <w:rFonts w:cs="Times New Roman"/>
          <w:szCs w:val="24"/>
        </w:rPr>
        <w:t xml:space="preserve"> OF TOTAL SHARES OR A DOLLAR AMOUNT].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This exemption is effective immediately and will expire on [SPECIFY A DATE NOT MORE THAN </w:t>
      </w:r>
      <w:r w:rsidR="00990E7C">
        <w:rPr>
          <w:rFonts w:cs="Times New Roman"/>
          <w:szCs w:val="24"/>
        </w:rPr>
        <w:t>TWO</w:t>
      </w:r>
      <w:r w:rsidRPr="00EA0FE3">
        <w:rPr>
          <w:rFonts w:cs="Times New Roman"/>
          <w:szCs w:val="24"/>
        </w:rPr>
        <w:t xml:space="preserve"> YEARS FROM DATE OF APPROVAL]. </w:t>
      </w:r>
      <w:r w:rsidR="004F54D8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Upon expiration of this exemption, you must apply for another exemption or reduce your nonmember deposits to the regulatory limitation of 20 percent of total assets or $</w:t>
      </w:r>
      <w:r w:rsidR="00150F20">
        <w:rPr>
          <w:rFonts w:cs="Times New Roman"/>
          <w:szCs w:val="24"/>
        </w:rPr>
        <w:t>3.0</w:t>
      </w:r>
      <w:r w:rsidRPr="00EA0FE3">
        <w:rPr>
          <w:rFonts w:cs="Times New Roman"/>
          <w:szCs w:val="24"/>
        </w:rPr>
        <w:t xml:space="preserve"> million, whichever is greater.</w:t>
      </w:r>
    </w:p>
    <w:p w:rsidR="005A1542" w:rsidRDefault="005A1542">
      <w:pPr>
        <w:spacing w:after="12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F354A" w:rsidRPr="00EA0FE3" w:rsidRDefault="0053101B" w:rsidP="00FF354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Mr. </w:t>
      </w:r>
      <w:r w:rsidR="00D25DB9" w:rsidRPr="00EA0FE3">
        <w:rPr>
          <w:rFonts w:cs="Times New Roman"/>
          <w:szCs w:val="24"/>
        </w:rPr>
        <w:t>John Doe</w:t>
      </w:r>
    </w:p>
    <w:p w:rsidR="00FF354A" w:rsidRPr="00EA0FE3" w:rsidRDefault="00D25DB9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Page Two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2A73C2" w:rsidRPr="00EA0FE3" w:rsidRDefault="002A73C2" w:rsidP="002A73C2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244540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 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043908" w:rsidRPr="00EA0FE3" w:rsidRDefault="00043908" w:rsidP="00043908">
      <w:pPr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043908" w:rsidRPr="00EA0FE3" w:rsidRDefault="00043908" w:rsidP="00043908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043908" w:rsidRPr="00EA0FE3" w:rsidRDefault="00043908" w:rsidP="00043908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53101B" w:rsidRDefault="0053101B" w:rsidP="0053101B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53101B" w:rsidRPr="002051F2" w:rsidRDefault="0053101B" w:rsidP="0053101B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SSIC XXXX</w:t>
      </w:r>
    </w:p>
    <w:p w:rsidR="0053101B" w:rsidRPr="002051F2" w:rsidRDefault="0053101B" w:rsidP="0053101B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Charter #</w:t>
      </w:r>
    </w:p>
    <w:p w:rsidR="0053101B" w:rsidRPr="002051F2" w:rsidRDefault="0053101B" w:rsidP="0053101B">
      <w:pPr>
        <w:tabs>
          <w:tab w:val="left" w:pos="2880"/>
        </w:tabs>
        <w:rPr>
          <w:rFonts w:cs="Times New Roman"/>
          <w:szCs w:val="24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SSA (</w:t>
      </w:r>
      <w:proofErr w:type="spellStart"/>
      <w:r w:rsidRPr="00251692">
        <w:rPr>
          <w:rFonts w:cs="Times New Roman"/>
          <w:szCs w:val="24"/>
          <w:lang w:val="fr-FR"/>
        </w:rPr>
        <w:t>when</w:t>
      </w:r>
      <w:proofErr w:type="spellEnd"/>
      <w:r w:rsidRPr="00251692">
        <w:rPr>
          <w:rFonts w:cs="Times New Roman"/>
          <w:szCs w:val="24"/>
          <w:lang w:val="fr-FR"/>
        </w:rPr>
        <w:t xml:space="preserve"> applicable)</w:t>
      </w:r>
    </w:p>
    <w:sectPr w:rsidR="003226AA" w:rsidRPr="00251692" w:rsidSect="00244540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B29" w:rsidRDefault="000B0B29" w:rsidP="00003698">
      <w:r>
        <w:separator/>
      </w:r>
    </w:p>
  </w:endnote>
  <w:endnote w:type="continuationSeparator" w:id="0">
    <w:p w:rsidR="000B0B29" w:rsidRDefault="000B0B29" w:rsidP="00003698">
      <w:r>
        <w:continuationSeparator/>
      </w:r>
    </w:p>
  </w:endnote>
  <w:endnote w:type="continuationNotice" w:id="1">
    <w:p w:rsidR="000B0B29" w:rsidRDefault="000B0B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B29" w:rsidRDefault="000B0B29" w:rsidP="00003698">
      <w:r>
        <w:separator/>
      </w:r>
    </w:p>
  </w:footnote>
  <w:footnote w:type="continuationSeparator" w:id="0">
    <w:p w:rsidR="000B0B29" w:rsidRDefault="000B0B29" w:rsidP="00003698">
      <w:r>
        <w:continuationSeparator/>
      </w:r>
    </w:p>
  </w:footnote>
  <w:footnote w:type="continuationNotice" w:id="1">
    <w:p w:rsidR="000B0B29" w:rsidRDefault="000B0B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63" w:rsidRPr="005A1542" w:rsidRDefault="00244540" w:rsidP="005A1542">
    <w:pPr>
      <w:pStyle w:val="Heading1"/>
      <w:rPr>
        <w:lang w:val="fr-FR"/>
      </w:rPr>
    </w:pPr>
    <w:bookmarkStart w:id="1" w:name="_Toc410730846"/>
    <w:bookmarkStart w:id="2" w:name="_Toc287274161"/>
    <w:bookmarkStart w:id="3" w:name="_Toc374715918"/>
    <w:bookmarkStart w:id="4" w:name="_Toc350243794"/>
    <w:bookmarkStart w:id="5" w:name="_Toc378338519"/>
    <w:r>
      <w:rPr>
        <w:lang w:val="fr-FR"/>
      </w:rPr>
      <w:t>TEMPLATE</w:t>
    </w:r>
    <w:r w:rsidR="005A1542" w:rsidRPr="00251692">
      <w:rPr>
        <w:lang w:val="fr-FR"/>
      </w:rPr>
      <w:t xml:space="preserve">: </w:t>
    </w:r>
    <w:proofErr w:type="spellStart"/>
    <w:r>
      <w:rPr>
        <w:lang w:val="fr-FR"/>
      </w:rPr>
      <w:t>Respond</w:t>
    </w:r>
    <w:proofErr w:type="spellEnd"/>
    <w:r>
      <w:rPr>
        <w:lang w:val="fr-FR"/>
      </w:rPr>
      <w:t xml:space="preserve"> to</w:t>
    </w:r>
    <w:r w:rsidR="00D75007">
      <w:rPr>
        <w:lang w:val="fr-FR"/>
      </w:rPr>
      <w:t xml:space="preserve"> Violation of</w:t>
    </w:r>
    <w:r>
      <w:rPr>
        <w:lang w:val="fr-FR"/>
      </w:rPr>
      <w:t xml:space="preserve"> </w:t>
    </w:r>
    <w:r w:rsidR="005A1542" w:rsidRPr="00251692">
      <w:rPr>
        <w:lang w:val="fr-FR"/>
      </w:rPr>
      <w:t>Non-</w:t>
    </w:r>
    <w:proofErr w:type="spellStart"/>
    <w:r w:rsidR="005A1542" w:rsidRPr="00251692">
      <w:rPr>
        <w:lang w:val="fr-FR"/>
      </w:rPr>
      <w:t>Member</w:t>
    </w:r>
    <w:proofErr w:type="spellEnd"/>
    <w:r w:rsidR="005A1542" w:rsidRPr="00251692">
      <w:rPr>
        <w:lang w:val="fr-FR"/>
      </w:rPr>
      <w:t xml:space="preserve"> </w:t>
    </w:r>
    <w:proofErr w:type="spellStart"/>
    <w:r w:rsidR="005A1542" w:rsidRPr="00251692">
      <w:rPr>
        <w:lang w:val="fr-FR"/>
      </w:rPr>
      <w:t>Deposit</w:t>
    </w:r>
    <w:proofErr w:type="spellEnd"/>
    <w:r w:rsidR="005A1542" w:rsidRPr="00251692">
      <w:rPr>
        <w:lang w:val="fr-FR"/>
      </w:rPr>
      <w:t xml:space="preserve"> Exemption</w:t>
    </w:r>
    <w:bookmarkEnd w:id="1"/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B29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0F20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60A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540"/>
    <w:rsid w:val="00244B55"/>
    <w:rsid w:val="00244BCA"/>
    <w:rsid w:val="0024677D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1B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0E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542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655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97CF7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3DE8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4DB1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0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5.xml><?xml version="1.0" encoding="utf-8"?>
<ds:datastoreItem xmlns:ds="http://schemas.openxmlformats.org/officeDocument/2006/customXml" ds:itemID="{B1AAB86B-09A4-4ACB-A130-7138007B28A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EEA9E57-26A0-44B9-AABF-18129014C88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0503BBC-C47F-4659-973F-8973B157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1795</Characters>
  <Application>Microsoft Office Word</Application>
  <DocSecurity>0</DocSecurity>
  <Lines>43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2015-02-03T19:05:00Z</dcterms:created>
  <dcterms:modified xsi:type="dcterms:W3CDTF">2017-03-01T19:36:00Z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