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4A" w:rsidRPr="00251692" w:rsidRDefault="00FF354A" w:rsidP="002516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cs="Times New Roman"/>
          <w:iCs/>
          <w:szCs w:val="24"/>
        </w:rPr>
      </w:pPr>
      <w:r w:rsidRPr="00043908">
        <w:rPr>
          <w:rFonts w:cs="Times New Roman"/>
          <w:szCs w:val="24"/>
        </w:rPr>
        <w:t>Date</w:t>
      </w:r>
    </w:p>
    <w:p w:rsidR="00FF354A" w:rsidRPr="00043908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</w:p>
    <w:p w:rsidR="00FF354A" w:rsidRPr="00312E26" w:rsidRDefault="00312E26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  <w:r w:rsidRPr="00312E26">
        <w:rPr>
          <w:rFonts w:cs="Times New Roman"/>
          <w:bCs/>
          <w:szCs w:val="24"/>
        </w:rPr>
        <w:t>SENT VIA [PREFERRED DELIVERY SERVICE] – SIGNATURE REQUIRED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</w:p>
    <w:p w:rsidR="00312E26" w:rsidRDefault="00312E26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pStyle w:val="InsideAddress"/>
        <w:rPr>
          <w:sz w:val="24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D5274D" w:rsidRPr="00EA0FE3" w:rsidRDefault="00D5274D" w:rsidP="00D5274D">
      <w:pPr>
        <w:rPr>
          <w:rFonts w:cs="Times New Roman"/>
          <w:szCs w:val="24"/>
        </w:rPr>
      </w:pPr>
    </w:p>
    <w:p w:rsidR="001F0DDF" w:rsidRDefault="00FF354A" w:rsidP="002E382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reviewed your </w:t>
      </w:r>
      <w:r w:rsidR="001F0DDF">
        <w:rPr>
          <w:rFonts w:cs="Times New Roman"/>
          <w:szCs w:val="24"/>
        </w:rPr>
        <w:t>request to waive the partial occupancy / disposal of abandoned property requirement established in §</w:t>
      </w:r>
      <w:r w:rsidR="002E3827" w:rsidRPr="00EA0FE3">
        <w:rPr>
          <w:rFonts w:cs="Times New Roman"/>
          <w:szCs w:val="24"/>
        </w:rPr>
        <w:t xml:space="preserve">701.36 of NCUA’s </w:t>
      </w:r>
      <w:r w:rsidR="0017666A">
        <w:rPr>
          <w:rFonts w:cs="Times New Roman"/>
          <w:szCs w:val="24"/>
        </w:rPr>
        <w:t>r</w:t>
      </w:r>
      <w:r w:rsidR="002E3827" w:rsidRPr="00EA0FE3">
        <w:rPr>
          <w:rFonts w:cs="Times New Roman"/>
          <w:szCs w:val="24"/>
        </w:rPr>
        <w:t xml:space="preserve">ules and </w:t>
      </w:r>
      <w:r w:rsidR="0017666A">
        <w:rPr>
          <w:rFonts w:cs="Times New Roman"/>
          <w:szCs w:val="24"/>
        </w:rPr>
        <w:t>r</w:t>
      </w:r>
      <w:r w:rsidR="002E3827" w:rsidRPr="00EA0FE3">
        <w:rPr>
          <w:rFonts w:cs="Times New Roman"/>
          <w:szCs w:val="24"/>
        </w:rPr>
        <w:t>egu</w:t>
      </w:r>
      <w:bookmarkStart w:id="0" w:name="_GoBack"/>
      <w:bookmarkEnd w:id="0"/>
      <w:r w:rsidR="002E3827" w:rsidRPr="00EA0FE3">
        <w:rPr>
          <w:rFonts w:cs="Times New Roman"/>
          <w:szCs w:val="24"/>
        </w:rPr>
        <w:t>lations</w:t>
      </w:r>
      <w:r w:rsidRPr="00637F8B">
        <w:rPr>
          <w:rFonts w:cs="Times New Roman"/>
          <w:iCs/>
          <w:szCs w:val="24"/>
        </w:rPr>
        <w:t>.</w:t>
      </w:r>
      <w:r w:rsidR="00166CA2" w:rsidRPr="00637F8B">
        <w:rPr>
          <w:rFonts w:cs="Times New Roman"/>
          <w:iCs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Based </w:t>
      </w:r>
      <w:r w:rsidR="001F0DDF">
        <w:rPr>
          <w:rFonts w:cs="Times New Roman"/>
          <w:szCs w:val="24"/>
        </w:rPr>
        <w:t>on our</w:t>
      </w:r>
      <w:r w:rsidRPr="00EA0FE3">
        <w:rPr>
          <w:rFonts w:cs="Times New Roman"/>
          <w:szCs w:val="24"/>
        </w:rPr>
        <w:t xml:space="preserve"> review of all data submitted, I cannot app</w:t>
      </w:r>
      <w:r w:rsidR="001F0DDF">
        <w:rPr>
          <w:rFonts w:cs="Times New Roman"/>
          <w:szCs w:val="24"/>
        </w:rPr>
        <w:t>rove your request at this time.</w:t>
      </w:r>
    </w:p>
    <w:p w:rsidR="001F0DDF" w:rsidRDefault="001F0DDF" w:rsidP="002E3827">
      <w:pPr>
        <w:rPr>
          <w:rFonts w:cs="Times New Roman"/>
          <w:szCs w:val="24"/>
        </w:rPr>
      </w:pPr>
    </w:p>
    <w:p w:rsidR="00043908" w:rsidRDefault="00FF354A" w:rsidP="002E382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Specifically, your request does not support the following:</w:t>
      </w:r>
    </w:p>
    <w:p w:rsidR="00FF354A" w:rsidRPr="00EA0FE3" w:rsidRDefault="00FF354A" w:rsidP="002E3827">
      <w:pPr>
        <w:rPr>
          <w:rFonts w:cs="Times New Roman"/>
          <w:szCs w:val="24"/>
        </w:rPr>
      </w:pPr>
    </w:p>
    <w:p w:rsidR="00FF354A" w:rsidRPr="00EA0FE3" w:rsidRDefault="00FF354A" w:rsidP="00251692">
      <w:pPr>
        <w:numPr>
          <w:ilvl w:val="0"/>
          <w:numId w:val="229"/>
        </w:numPr>
        <w:tabs>
          <w:tab w:val="left" w:pos="2880"/>
        </w:tabs>
        <w:overflowPunct w:val="0"/>
        <w:autoSpaceDE w:val="0"/>
        <w:autoSpaceDN w:val="0"/>
        <w:adjustRightInd w:val="0"/>
        <w:spacing w:after="120"/>
        <w:ind w:left="720" w:right="274"/>
        <w:rPr>
          <w:rFonts w:cs="Times New Roman"/>
          <w:szCs w:val="24"/>
        </w:rPr>
      </w:pPr>
    </w:p>
    <w:p w:rsidR="00FF354A" w:rsidRPr="00EA0FE3" w:rsidRDefault="00FF354A" w:rsidP="00251692">
      <w:pPr>
        <w:numPr>
          <w:ilvl w:val="0"/>
          <w:numId w:val="229"/>
        </w:numPr>
        <w:tabs>
          <w:tab w:val="left" w:pos="2880"/>
        </w:tabs>
        <w:overflowPunct w:val="0"/>
        <w:autoSpaceDE w:val="0"/>
        <w:autoSpaceDN w:val="0"/>
        <w:adjustRightInd w:val="0"/>
        <w:spacing w:after="120"/>
        <w:ind w:left="720" w:right="274"/>
        <w:rPr>
          <w:rFonts w:cs="Times New Roman"/>
          <w:szCs w:val="24"/>
        </w:rPr>
      </w:pPr>
    </w:p>
    <w:p w:rsidR="00FF354A" w:rsidRPr="00EA0FE3" w:rsidRDefault="00FF354A" w:rsidP="00251692">
      <w:pPr>
        <w:numPr>
          <w:ilvl w:val="0"/>
          <w:numId w:val="229"/>
        </w:numPr>
        <w:tabs>
          <w:tab w:val="left" w:pos="2880"/>
        </w:tabs>
        <w:overflowPunct w:val="0"/>
        <w:autoSpaceDE w:val="0"/>
        <w:autoSpaceDN w:val="0"/>
        <w:adjustRightInd w:val="0"/>
        <w:spacing w:after="120"/>
        <w:ind w:left="720" w:right="274"/>
        <w:rPr>
          <w:rFonts w:cs="Times New Roman"/>
          <w:szCs w:val="24"/>
        </w:rPr>
      </w:pPr>
    </w:p>
    <w:p w:rsidR="00FF354A" w:rsidRPr="00EA0FE3" w:rsidRDefault="00FF354A" w:rsidP="00FF354A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FF354A" w:rsidRPr="00EA0FE3" w:rsidRDefault="00FF354A" w:rsidP="00FF354A">
      <w:pPr>
        <w:tabs>
          <w:tab w:val="left" w:pos="2880"/>
        </w:tabs>
        <w:ind w:right="27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would like me to reconsider your request, please </w:t>
      </w:r>
      <w:r w:rsidR="001F0DDF">
        <w:rPr>
          <w:rFonts w:cs="Times New Roman"/>
          <w:szCs w:val="24"/>
        </w:rPr>
        <w:t>submit</w:t>
      </w:r>
      <w:r w:rsidRPr="00EA0FE3">
        <w:rPr>
          <w:rFonts w:cs="Times New Roman"/>
          <w:szCs w:val="24"/>
        </w:rPr>
        <w:t xml:space="preserve"> additional data/information </w:t>
      </w:r>
      <w:r w:rsidR="001F0DDF">
        <w:rPr>
          <w:rFonts w:cs="Times New Roman"/>
          <w:szCs w:val="24"/>
        </w:rPr>
        <w:t xml:space="preserve">addressing the items above </w:t>
      </w:r>
      <w:r w:rsidRPr="00EA0FE3">
        <w:rPr>
          <w:rFonts w:cs="Times New Roman"/>
          <w:szCs w:val="24"/>
        </w:rPr>
        <w:t>to further support your fixed asset waiver request.</w:t>
      </w:r>
    </w:p>
    <w:p w:rsidR="00FF354A" w:rsidRPr="00EA0FE3" w:rsidRDefault="00FF354A" w:rsidP="00FF354A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8158FF" w:rsidRPr="00EA0FE3" w:rsidRDefault="008158FF" w:rsidP="008158FF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C9653A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312E26" w:rsidRDefault="00312E26" w:rsidP="00312E26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312E26" w:rsidRPr="002051F2" w:rsidRDefault="00312E26" w:rsidP="00312E26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SSIC XXXX</w:t>
      </w:r>
    </w:p>
    <w:p w:rsidR="00312E26" w:rsidRPr="002051F2" w:rsidRDefault="00312E26" w:rsidP="00312E26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Charter #</w:t>
      </w:r>
    </w:p>
    <w:p w:rsidR="00312E26" w:rsidRPr="002051F2" w:rsidRDefault="00312E26" w:rsidP="00312E26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5362B0" w:rsidRPr="00E45857" w:rsidRDefault="003226AA" w:rsidP="00FD0541">
      <w:pPr>
        <w:ind w:left="720" w:hanging="720"/>
        <w:rPr>
          <w:lang w:eastAsia="zh-CN"/>
        </w:rPr>
      </w:pPr>
      <w:r w:rsidRPr="00251692">
        <w:rPr>
          <w:rFonts w:cs="Times New Roman"/>
          <w:szCs w:val="24"/>
          <w:lang w:val="fr-FR"/>
        </w:rPr>
        <w:tab/>
      </w:r>
      <w:r w:rsidRPr="002051F2">
        <w:rPr>
          <w:rFonts w:cs="Times New Roman"/>
          <w:szCs w:val="24"/>
          <w:lang w:val="fr-FR"/>
        </w:rPr>
        <w:t>SSA (</w:t>
      </w:r>
      <w:proofErr w:type="spellStart"/>
      <w:r w:rsidRPr="002051F2">
        <w:rPr>
          <w:rFonts w:cs="Times New Roman"/>
          <w:szCs w:val="24"/>
          <w:lang w:val="fr-FR"/>
        </w:rPr>
        <w:t>when</w:t>
      </w:r>
      <w:proofErr w:type="spellEnd"/>
      <w:r w:rsidRPr="002051F2">
        <w:rPr>
          <w:rFonts w:cs="Times New Roman"/>
          <w:szCs w:val="24"/>
          <w:lang w:val="fr-FR"/>
        </w:rPr>
        <w:t xml:space="preserve"> applicable)</w:t>
      </w:r>
      <w:bookmarkStart w:id="1" w:name="appendix6f"/>
      <w:bookmarkEnd w:id="1"/>
    </w:p>
    <w:sectPr w:rsidR="005362B0" w:rsidRPr="00E45857" w:rsidSect="00C9653A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A41" w:rsidRDefault="00604A41" w:rsidP="00003698">
      <w:r>
        <w:separator/>
      </w:r>
    </w:p>
  </w:endnote>
  <w:endnote w:type="continuationSeparator" w:id="0">
    <w:p w:rsidR="00604A41" w:rsidRDefault="00604A41" w:rsidP="00003698">
      <w:r>
        <w:continuationSeparator/>
      </w:r>
    </w:p>
  </w:endnote>
  <w:endnote w:type="continuationNotice" w:id="1">
    <w:p w:rsidR="00604A41" w:rsidRDefault="00604A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A41" w:rsidRDefault="00604A41" w:rsidP="00003698">
      <w:r>
        <w:separator/>
      </w:r>
    </w:p>
  </w:footnote>
  <w:footnote w:type="continuationSeparator" w:id="0">
    <w:p w:rsidR="00604A41" w:rsidRDefault="00604A41" w:rsidP="00003698">
      <w:r>
        <w:continuationSeparator/>
      </w:r>
    </w:p>
  </w:footnote>
  <w:footnote w:type="continuationNotice" w:id="1">
    <w:p w:rsidR="00604A41" w:rsidRDefault="00604A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Pr="00FD0541" w:rsidRDefault="00C9653A" w:rsidP="00FD0541">
    <w:pPr>
      <w:pStyle w:val="Heading1"/>
    </w:pPr>
    <w:bookmarkStart w:id="2" w:name="_Toc410730842"/>
    <w:r>
      <w:t>TEMPLATE</w:t>
    </w:r>
    <w:r w:rsidR="00FD0541">
      <w:t xml:space="preserve">: </w:t>
    </w:r>
    <w:bookmarkStart w:id="3" w:name="_Toc287274151"/>
    <w:bookmarkStart w:id="4" w:name="_Toc374715910"/>
    <w:bookmarkStart w:id="5" w:name="_Toc350243786"/>
    <w:bookmarkStart w:id="6" w:name="_Toc378338511"/>
    <w:r>
      <w:t xml:space="preserve">Deny Request for </w:t>
    </w:r>
    <w:r w:rsidR="00BC53A2">
      <w:t>Occupancy</w:t>
    </w:r>
    <w:r w:rsidR="00FD0541">
      <w:t xml:space="preserve"> </w:t>
    </w:r>
    <w:bookmarkEnd w:id="2"/>
    <w:bookmarkEnd w:id="3"/>
    <w:bookmarkEnd w:id="4"/>
    <w:bookmarkEnd w:id="5"/>
    <w:bookmarkEnd w:id="6"/>
    <w:r>
      <w:t>Waiver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0DDF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4A41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3A2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653A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5A98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C5F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541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8C3CB84-B755-4F80-AC2B-170EEF7A0D7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5C7EDB-2CD7-4D4A-949F-0CE8BBF8842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2F7FEFA-F3D7-4948-8861-ED2ACF2B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2015-02-03T19:01:00Z</dcterms:created>
  <dcterms:modified xsi:type="dcterms:W3CDTF">2015-11-02T20:50:00Z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