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000000"/>
        </w:rPr>
        <w:t>Практическая реализация механизма внимания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i w:val="0"/>
          <w:color w:val="000000"/>
          <w:sz w:val="24"/>
        </w:rPr>
        <w:t>Документация кода: Self-Attention, Multi-Head Attention и GQA для проекта FishingLLM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i w:val="0"/>
          <w:color w:val="000000"/>
          <w:sz w:val="24"/>
        </w:rPr>
      </w:r>
    </w:p>
    <w:p>
      <w:pPr>
        <w:pStyle w:val="Heading1"/>
      </w:pPr>
      <w:r>
        <w:rPr>
          <w:rFonts w:ascii="Times New Roman" w:hAnsi="Times New Roman"/>
          <w:color w:val="000000"/>
          <w:sz w:val="32"/>
        </w:rPr>
        <w:t>1. Общая архитектура модуля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i w:val="0"/>
          <w:color w:val="000000"/>
          <w:sz w:val="24"/>
        </w:rPr>
        <w:t>Модуль fishingllm/attention.py содержит два класса: ScaledDotProductAttention и MultiHeadAttention. Первый реализует базовую формулу скалярного произведения с масштабированием, второй — многоголовое внимание с поддержкой Grouped Query Attention (GQA). Оба наследуются от nn.Module, что позволяет встраивать их в стандартный PyTorch-пайплайн.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i w:val="0"/>
          <w:color w:val="000000"/>
          <w:sz w:val="24"/>
        </w:rPr>
        <w:t>Напомним формулу attention из Лекции 1: Attention(Q,K,V) = softmax(Q*K^T / sqrt(d_k)) * V. Q — запросы (queries), K — ключи (keys), V — значения (values), d_k — размерность ключей, sqrt(d_k) — нормировочный коэффициент, предотвращающий взрыв softmax при больших размерностях.</w:t>
      </w:r>
    </w:p>
    <w:p>
      <w:pPr>
        <w:pStyle w:val="Heading2"/>
      </w:pPr>
      <w:r>
        <w:rPr>
          <w:rFonts w:ascii="Times New Roman" w:hAnsi="Times New Roman"/>
          <w:color w:val="000000"/>
          <w:sz w:val="28"/>
        </w:rPr>
        <w:t>2. ScaledDotProductAttention — одно головое внимание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i w:val="0"/>
          <w:color w:val="000000"/>
          <w:sz w:val="24"/>
        </w:rPr>
        <w:t>Класс состоит из конструктора и метода forward. В конструкторе запоминаем d_k и предвычисляем scale = 1/sqrt(d_k). Предвычисление — микрооптимизация: вместо 1/math.sqrt(d_k) на каждом шаге forward считаем один раз в __init__.</w:t>
      </w:r>
    </w:p>
    <w:p>
      <w:pPr>
        <w:spacing w:line="360" w:lineRule="auto"/>
        <w:ind w:firstLine="709"/>
      </w:pPr>
      <w:r>
        <w:rPr>
          <w:rFonts w:ascii="Times New Roman" w:hAnsi="Times New Roman"/>
          <w:b/>
          <w:i w:val="0"/>
          <w:color w:val="000000"/>
          <w:sz w:val="24"/>
        </w:rPr>
        <w:t>Рассмотрим forward-метод построчно:</w:t>
      </w:r>
    </w:p>
    <w:p>
      <w:pPr>
        <w:spacing w:before="120" w:after="120"/>
        <w:ind w:left="567"/>
      </w:pPr>
      <w:r>
        <w:rPr>
          <w:rFonts w:ascii="Consolas" w:hAnsi="Consolas"/>
          <w:color w:val="323232"/>
          <w:sz w:val="18"/>
        </w:rPr>
        <w:t>def forward(self, Q, K, V, mask=None):</w:t>
        <w:br/>
        <w:t xml:space="preserve">    scores = torch.matmul(Q, K.transpose(-2, -1)) * self.scale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i w:val="0"/>
          <w:color w:val="000000"/>
          <w:sz w:val="24"/>
        </w:rPr>
        <w:t>torch.matmul(Q, K.transpose(-2, -1)) вычисляет Q*K^T. transpose(-2, -1) транспонирует две последние оси K: если K формы (batch, seq_len, d_k), то после транспонирования получаем (batch, d_k, seq_len), и matmul даёт (batch, seq_len, seq_len). Умножение на self.scale — деление на sqrt(d_k).</w:t>
      </w:r>
    </w:p>
    <w:p>
      <w:pPr>
        <w:spacing w:before="120" w:after="120"/>
        <w:ind w:left="567"/>
      </w:pPr>
      <w:r>
        <w:rPr>
          <w:rFonts w:ascii="Consolas" w:hAnsi="Consolas"/>
          <w:color w:val="323232"/>
          <w:sz w:val="18"/>
        </w:rPr>
        <w:t>if mask is not None:</w:t>
        <w:br/>
        <w:t xml:space="preserve">    scores = scores.masked_fill(mask, float('-inf'))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i w:val="0"/>
          <w:color w:val="000000"/>
          <w:sz w:val="24"/>
        </w:rPr>
        <w:t>Маска — тензор bool той же формы (batch, seq_len, seq_len). Где mask=True, ставится -inf. После softmax эти позиции дадут 0, то есть замаскированные токены не участвуют. Для каузальной маски запрещаем attendить к будущим токенам. Почему -inf, а не большое число? Softmax с -inf даёт ровный 0, а с конечным числом — ненулевую вероятность.</w:t>
      </w:r>
    </w:p>
    <w:p>
      <w:pPr>
        <w:spacing w:before="120" w:after="120"/>
        <w:ind w:left="567"/>
      </w:pPr>
      <w:r>
        <w:rPr>
          <w:rFonts w:ascii="Consolas" w:hAnsi="Consolas"/>
          <w:color w:val="323232"/>
          <w:sz w:val="18"/>
        </w:rPr>
        <w:t>attn = F.softmax(scores, dim=-1)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i w:val="0"/>
          <w:color w:val="000000"/>
          <w:sz w:val="24"/>
        </w:rPr>
        <w:t>Softmax по последней оси (dim=-1) нормализует веса для каждого токена, превращая scores в распределение вероятностей.</w:t>
      </w:r>
    </w:p>
    <w:p>
      <w:pPr>
        <w:spacing w:before="120" w:after="120"/>
        <w:ind w:left="567"/>
      </w:pPr>
      <w:r>
        <w:rPr>
          <w:rFonts w:ascii="Consolas" w:hAnsi="Consolas"/>
          <w:color w:val="323232"/>
          <w:sz w:val="18"/>
        </w:rPr>
        <w:t>return torch.matmul(attn, V), attn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i w:val="0"/>
          <w:color w:val="000000"/>
          <w:sz w:val="24"/>
        </w:rPr>
        <w:t>Умножаем attn на V, получая взвешенную сумму значений. Возвращаем результат (batch, seq_len, d_k) и веса attn (batch, seq_len, seq_len) для отладки.</w:t>
      </w:r>
    </w:p>
    <w:p>
      <w:pPr>
        <w:pStyle w:val="Heading2"/>
      </w:pPr>
      <w:r>
        <w:rPr>
          <w:rFonts w:ascii="Times New Roman" w:hAnsi="Times New Roman"/>
          <w:color w:val="000000"/>
          <w:sz w:val="28"/>
        </w:rPr>
        <w:t>3. MultiHeadAttention — многоголовое внимание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i w:val="0"/>
          <w:color w:val="000000"/>
          <w:sz w:val="24"/>
        </w:rPr>
        <w:t>MultiHeadAttention расширяет ScaledDotProductAttention до нескольких голов. Вместо одного attention параллельно вычисляем несколько, каждая на своей проекции Q, K, V.</w:t>
      </w:r>
    </w:p>
    <w:p>
      <w:pPr>
        <w:pStyle w:val="Heading3"/>
      </w:pPr>
      <w:r>
        <w:rPr>
          <w:rFonts w:ascii="Times New Roman" w:hAnsi="Times New Roman"/>
          <w:color w:val="000000"/>
          <w:sz w:val="24"/>
        </w:rPr>
        <w:t>3.1 Конструктор и параметры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i w:val="0"/>
          <w:color w:val="000000"/>
          <w:sz w:val="24"/>
        </w:rPr>
        <w:t>Параметры: d_model — размерность эмбеддингов (в проекте 768); n_heads — количество голов (12); n_kv_heads — KV-голов для GQA (4, по умолчанию равно n_heads); dropout — вероятность обнуления.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i w:val="0"/>
          <w:color w:val="000000"/>
          <w:sz w:val="24"/>
        </w:rPr>
        <w:t>Проверка assert d_model % n_heads == 0: если d_model не делится на n_heads, нельзя равномерно распределить размерность по головам.</w:t>
      </w:r>
    </w:p>
    <w:p>
      <w:pPr>
        <w:spacing w:line="360" w:lineRule="auto"/>
        <w:ind w:firstLine="709"/>
      </w:pPr>
      <w:r>
        <w:rPr>
          <w:rFonts w:ascii="Times New Roman" w:hAnsi="Times New Roman"/>
          <w:b/>
          <w:i w:val="0"/>
          <w:color w:val="000000"/>
          <w:sz w:val="24"/>
        </w:rPr>
        <w:t>Четыре линейные проекции: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i w:val="0"/>
          <w:color w:val="000000"/>
          <w:sz w:val="24"/>
        </w:rPr>
        <w:t>- W_q: d_model -&gt; n_heads * d_k (запросы Q, полные n_heads)</w:t>
        <w:br/>
        <w:t>- W_k: d_model -&gt; n_kv_heads * d_k (ключи K, только n_kv_heads)</w:t>
        <w:br/>
        <w:t>- W_v: d_model -&gt; n_kv_heads * d_k (значения V, только n_kv_heads)</w:t>
        <w:br/>
        <w:t>- W_o: n_heads * d_k -&gt; d_model (обратная проекция)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i w:val="0"/>
          <w:color w:val="000000"/>
          <w:sz w:val="24"/>
        </w:rPr>
        <w:t>bias=False — в оригинальной статье и LLaMA bias в проекциях не используется. Уменьшает число параметров, сдвиги вносятся нормализацией слоя.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i w:val="0"/>
          <w:color w:val="000000"/>
          <w:sz w:val="24"/>
        </w:rPr>
        <w:t>n_rep = n_heads // n_kv_heads — коэффициент повторения KV-голов. При 12:4, n_rep=3: каждая KV-голова обслуживает 3 Q-головы. Это суть GQA: вычисляем K и V только для 4 голов, повторяем 3 раза для 12 Q-голов.</w:t>
      </w:r>
    </w:p>
    <w:p>
      <w:pPr>
        <w:pStyle w:val="Heading3"/>
      </w:pPr>
      <w:r>
        <w:rPr>
          <w:rFonts w:ascii="Times New Roman" w:hAnsi="Times New Roman"/>
          <w:color w:val="000000"/>
          <w:sz w:val="24"/>
        </w:rPr>
        <w:t>3.2 Инициализация весов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i w:val="0"/>
          <w:color w:val="000000"/>
          <w:sz w:val="24"/>
        </w:rPr>
        <w:t>Метод _reset_parameters использует Xavier Uniform инициализацию. Выбор Xavier обоснован: он поддерживает дисперсию сигнала на постоянном уровне при проходе через линейный слой.</w:t>
      </w:r>
    </w:p>
    <w:p>
      <w:pPr>
        <w:pStyle w:val="Heading3"/>
      </w:pPr>
      <w:r>
        <w:rPr>
          <w:rFonts w:ascii="Times New Roman" w:hAnsi="Times New Roman"/>
          <w:color w:val="000000"/>
          <w:sz w:val="24"/>
        </w:rPr>
        <w:t>3.3 Каузальная маска</w:t>
      </w:r>
    </w:p>
    <w:p>
      <w:pPr>
        <w:spacing w:before="120" w:after="120"/>
        <w:ind w:left="567"/>
      </w:pPr>
      <w:r>
        <w:rPr>
          <w:rFonts w:ascii="Consolas" w:hAnsi="Consolas"/>
          <w:color w:val="323232"/>
          <w:sz w:val="18"/>
        </w:rPr>
        <w:t>@staticmethod</w:t>
        <w:br/>
        <w:t>def _create_causal_mask(seq_len, device):</w:t>
        <w:br/>
        <w:t xml:space="preserve">    mask = torch.triu(torch.full((seq_len, seq_len), True,</w:t>
        <w:br/>
        <w:t xml:space="preserve">        dtype=torch.bool, device=device), diagonal=1)</w:t>
        <w:br/>
        <w:t xml:space="preserve">    return mask.unsqueeze(0)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i w:val="0"/>
          <w:color w:val="000000"/>
          <w:sz w:val="24"/>
        </w:rPr>
        <w:t>torch.triu с diagonal=1 берёт строго верхний треугольник (элементы выше главной диагонали) в True. Для матрицы 4x4: первые элемент (0,1), (0,2), (0,3), (1,2), (1,3), (2,3) равны True. Это означает: i-й токен attendит только к j &lt;= i. unsqueeze(0) добавляет batch-размерность.</w:t>
      </w:r>
    </w:p>
    <w:p>
      <w:pPr>
        <w:pStyle w:val="Heading3"/>
      </w:pPr>
      <w:r>
        <w:rPr>
          <w:rFonts w:ascii="Times New Roman" w:hAnsi="Times New Roman"/>
          <w:color w:val="000000"/>
          <w:sz w:val="24"/>
        </w:rPr>
        <w:t>3.4 Повтор KV-голов для GQA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i w:val="0"/>
          <w:color w:val="000000"/>
          <w:sz w:val="24"/>
        </w:rPr>
        <w:t>В forward-методе K и V повторяются с помощью repeat_interleave:</w:t>
      </w:r>
    </w:p>
    <w:p>
      <w:pPr>
        <w:spacing w:before="120" w:after="120"/>
        <w:ind w:left="567"/>
      </w:pPr>
      <w:r>
        <w:rPr>
          <w:rFonts w:ascii="Consolas" w:hAnsi="Consolas"/>
          <w:color w:val="323232"/>
          <w:sz w:val="18"/>
        </w:rPr>
        <w:t>K = K.repeat_interleave(self.n_rep, dim=1)</w:t>
        <w:br/>
        <w:t>V = V.repeat_interleave(self.n_rep, dim=1)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i w:val="0"/>
          <w:color w:val="000000"/>
          <w:sz w:val="24"/>
        </w:rPr>
        <w:t>repeat_interleave по dim=1 (размерность голов) копирует каждую KV-голову n_rep раз. Форма меняется с (B, n_kv_heads, L, d_k) на (B, n_kv_heads * n_rep, L, d_k) = (B, n_heads, L, d_k).</w:t>
      </w:r>
    </w:p>
    <w:p>
      <w:pPr>
        <w:pStyle w:val="Heading3"/>
      </w:pPr>
      <w:r>
        <w:rPr>
          <w:rFonts w:ascii="Times New Roman" w:hAnsi="Times New Roman"/>
          <w:color w:val="000000"/>
          <w:sz w:val="24"/>
        </w:rPr>
        <w:t>3.5 Forward-метод</w:t>
      </w:r>
    </w:p>
    <w:p>
      <w:pPr>
        <w:spacing w:line="360" w:lineRule="auto"/>
        <w:ind w:firstLine="709"/>
      </w:pPr>
      <w:r>
        <w:rPr>
          <w:rFonts w:ascii="Times New Roman" w:hAnsi="Times New Roman"/>
          <w:b/>
          <w:i w:val="0"/>
          <w:color w:val="000000"/>
          <w:sz w:val="24"/>
        </w:rPr>
        <w:t>Шаг 1. Проекции Q, K, V:</w:t>
      </w:r>
    </w:p>
    <w:p>
      <w:pPr>
        <w:spacing w:before="120" w:after="120"/>
        <w:ind w:left="567"/>
      </w:pPr>
      <w:r>
        <w:rPr>
          <w:rFonts w:ascii="Consolas" w:hAnsi="Consolas"/>
          <w:color w:val="323232"/>
          <w:sz w:val="18"/>
        </w:rPr>
        <w:t>Q = self.W_q(x).view(B, L, self.n_heads, self.d_k).transpose(1, 2)</w:t>
        <w:br/>
        <w:t>K = self.W_k(x).view(B, L, self.n_kv_heads, self.d_k).transpose(1, 2)</w:t>
        <w:br/>
        <w:t>V = self.W_v(x).view(B, L, self.n_kv_heads, self.d_k).transpose(1, 2)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i w:val="0"/>
          <w:color w:val="000000"/>
          <w:sz w:val="24"/>
        </w:rPr>
        <w:t>После transpose(1, 2) форма Q — (B, n_heads, L, d_k), K и V — (B, n_kv_heads, L, d_k). Переставляем оси, чтобы размерность последовательности (L) была предпоследней.</w:t>
      </w:r>
    </w:p>
    <w:p>
      <w:pPr>
        <w:spacing w:line="360" w:lineRule="auto"/>
        <w:ind w:firstLine="709"/>
      </w:pPr>
      <w:r>
        <w:rPr>
          <w:rFonts w:ascii="Times New Roman" w:hAnsi="Times New Roman"/>
          <w:b/>
          <w:i w:val="0"/>
          <w:color w:val="000000"/>
          <w:sz w:val="24"/>
        </w:rPr>
        <w:t>Шаг 2. Применение attention ко всем головам:</w:t>
      </w:r>
    </w:p>
    <w:p>
      <w:pPr>
        <w:spacing w:before="120" w:after="120"/>
        <w:ind w:left="567"/>
      </w:pPr>
      <w:r>
        <w:rPr>
          <w:rFonts w:ascii="Consolas" w:hAnsi="Consolas"/>
          <w:color w:val="323232"/>
          <w:sz w:val="18"/>
        </w:rPr>
        <w:t>attn_output, attn_weights = self.attn(</w:t>
        <w:br/>
        <w:t xml:space="preserve">    Q.reshape(-1, L, self.d_k),</w:t>
        <w:br/>
        <w:t xml:space="preserve">    K.reshape(-1, L, self.d_k),</w:t>
        <w:br/>
        <w:t xml:space="preserve">    V.reshape(-1, L, self.d_k), mask)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i w:val="0"/>
          <w:color w:val="000000"/>
          <w:sz w:val="24"/>
        </w:rPr>
        <w:t>reshape(-1, L, d_k) объединяет batch и n_heads: из (B, n_heads, L, d_k) получаем (B * n_heads, L, d_k). Это превращает multi-head в batch-обработку независимых single-head attention.</w:t>
      </w:r>
    </w:p>
    <w:p>
      <w:pPr>
        <w:spacing w:line="360" w:lineRule="auto"/>
        <w:ind w:firstLine="709"/>
      </w:pPr>
      <w:r>
        <w:rPr>
          <w:rFonts w:ascii="Times New Roman" w:hAnsi="Times New Roman"/>
          <w:b/>
          <w:i w:val="0"/>
          <w:color w:val="000000"/>
          <w:sz w:val="24"/>
        </w:rPr>
        <w:t>Шаг 3. Обратная проекция:</w:t>
      </w:r>
    </w:p>
    <w:p>
      <w:pPr>
        <w:spacing w:before="120" w:after="120"/>
        <w:ind w:left="567"/>
      </w:pPr>
      <w:r>
        <w:rPr>
          <w:rFonts w:ascii="Consolas" w:hAnsi="Consolas"/>
          <w:color w:val="323232"/>
          <w:sz w:val="18"/>
        </w:rPr>
        <w:t>attn_output = attn_output.view(B, self.n_heads, L, self.d_k)</w:t>
        <w:br/>
        <w:t xml:space="preserve">    .transpose(1, 2).reshape(B, L, -1)</w:t>
        <w:br/>
        <w:t>attn_output = self.dropout(self.W_o(attn_output))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i w:val="0"/>
          <w:color w:val="000000"/>
          <w:sz w:val="24"/>
        </w:rPr>
        <w:t>view восстанавливает размерность голов, transpose возвращает оси в (B, L, n_heads, d_k), reshape собирает головы в последнюю ось. W_o отображает n_heads * d_k обратно в d_model.</w:t>
      </w:r>
    </w:p>
    <w:p>
      <w:pPr>
        <w:pStyle w:val="Heading2"/>
      </w:pPr>
      <w:r>
        <w:rPr>
          <w:rFonts w:ascii="Times New Roman" w:hAnsi="Times New Roman"/>
          <w:color w:val="000000"/>
          <w:sz w:val="28"/>
        </w:rPr>
        <w:t>4. GQA — зачем и почему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i w:val="0"/>
          <w:color w:val="000000"/>
          <w:sz w:val="24"/>
        </w:rPr>
        <w:t>Grouped Query Attention (Ainslie et al., 2023) — компромисс между Multi-Query Attention (MQA) и Multi-Head Attention (MHA).</w:t>
      </w:r>
    </w:p>
    <w:p>
      <w:pPr>
        <w:spacing w:line="360" w:lineRule="auto"/>
        <w:ind w:firstLine="709"/>
      </w:pPr>
      <w:r>
        <w:rPr>
          <w:rFonts w:ascii="Times New Roman" w:hAnsi="Times New Roman"/>
          <w:b/>
          <w:i w:val="0"/>
          <w:color w:val="000000"/>
          <w:sz w:val="24"/>
        </w:rPr>
        <w:t>Сравнение: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i w:val="0"/>
          <w:color w:val="000000"/>
          <w:sz w:val="24"/>
        </w:rPr>
        <w:t>- MQA: n_kv_heads = 1. Максимальная экономия KV-кэша, но снижение качества (Shazeer, 2019).</w:t>
        <w:br/>
        <w:t>- MHA: n_kv_heads = n_heads. Максимальная ёмкость, но дорого на inference (кэш всех голов).</w:t>
        <w:br/>
        <w:t>- GQA: промежуточный вариант. Для 12:4 — трёхкратное сжатие KV-кэша при минимальной потере качества (&lt; 1% perplexity).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i w:val="0"/>
          <w:color w:val="000000"/>
          <w:sz w:val="24"/>
        </w:rPr>
        <w:t>Для FishingLLM на CPU с 8GB RAM каждый сэкономленный мегабайт KV-кэша позволяет обрабатывать более длинные промпты. При n_kv_heads=4 экономим 2/3 памяти кэша по сравнению с полным MHA.</w:t>
      </w:r>
    </w:p>
    <w:p>
      <w:pPr>
        <w:pStyle w:val="Heading2"/>
      </w:pPr>
      <w:r>
        <w:rPr>
          <w:rFonts w:ascii="Times New Roman" w:hAnsi="Times New Roman"/>
          <w:color w:val="000000"/>
          <w:sz w:val="28"/>
        </w:rPr>
        <w:t>5. Обоснование тестов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i w:val="0"/>
          <w:color w:val="000000"/>
          <w:sz w:val="24"/>
        </w:rPr>
        <w:t>Тесты разделены на два класса: TestScaledDotProductAttention (5 тестов) и TestMultiHeadAttention (7 тестов).</w:t>
      </w:r>
    </w:p>
    <w:p>
      <w:pPr>
        <w:pStyle w:val="Heading3"/>
      </w:pPr>
      <w:r>
        <w:rPr>
          <w:rFonts w:ascii="Times New Roman" w:hAnsi="Times New Roman"/>
          <w:color w:val="000000"/>
          <w:sz w:val="24"/>
        </w:rPr>
        <w:t>5.1 ScaledDotProductAttention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i w:val="0"/>
          <w:color w:val="000000"/>
          <w:sz w:val="24"/>
        </w:rPr>
        <w:t>test_output_shape — проверяет, что выход имеет форму (B, L, d_k) и веса — (B, L, L). Минимальная проверка тензорных операций.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i w:val="0"/>
          <w:color w:val="000000"/>
          <w:sz w:val="24"/>
        </w:rPr>
        <w:t>test_attention_weights_sum_to_one — веса attention для каждого токена суммируются в 1 (свойство softmax).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i w:val="0"/>
          <w:color w:val="000000"/>
          <w:sz w:val="24"/>
        </w:rPr>
        <w:t>test_causal_mask_prevents_future_attention — weights[i, j] = 0 для j &gt; i. Гарантирует, что модель не подглядывает в будущие токены.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i w:val="0"/>
          <w:color w:val="000000"/>
          <w:sz w:val="24"/>
        </w:rPr>
        <w:t>test_identical_qkv_gives_diagonal_attention — при Q=K=V скалярное произведение токена с собой даёт максимум, диагональ доминирует (&gt; 0.5).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i w:val="0"/>
          <w:color w:val="000000"/>
          <w:sz w:val="24"/>
        </w:rPr>
        <w:t>test_scaling_factor — масштабирование sqrt(d_k) предотвращает NaN при больших значениях.</w:t>
      </w:r>
    </w:p>
    <w:p>
      <w:pPr>
        <w:pStyle w:val="Heading3"/>
      </w:pPr>
      <w:r>
        <w:rPr>
          <w:rFonts w:ascii="Times New Roman" w:hAnsi="Times New Roman"/>
          <w:color w:val="000000"/>
          <w:sz w:val="24"/>
        </w:rPr>
        <w:t>5.2 MultiHeadAttention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i w:val="0"/>
          <w:color w:val="000000"/>
          <w:sz w:val="24"/>
        </w:rPr>
        <w:t>test_output_shape — на входе (B, L, d_model), на выходе то же.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i w:val="0"/>
          <w:color w:val="000000"/>
          <w:sz w:val="24"/>
        </w:rPr>
        <w:t>test_gqa_kv_repeat — проверяет n_rep=2 для конфигурации 8:4, и что attention-веса имеют размерность (B, n_heads, L, L).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i w:val="0"/>
          <w:color w:val="000000"/>
          <w:sz w:val="24"/>
        </w:rPr>
        <w:t>test_causal_mask_works — smoke test на отсутствие NaN.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i w:val="0"/>
          <w:color w:val="000000"/>
          <w:sz w:val="24"/>
        </w:rPr>
        <w:t>test_without_gqa — если n_kv_heads не задан, он равен n_heads.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i w:val="0"/>
          <w:color w:val="000000"/>
          <w:sz w:val="24"/>
        </w:rPr>
        <w:t>test_residual_connection_not_broken — выход не нулевой и не равен входу. Проверка инициализации и работы проекций.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i w:val="0"/>
          <w:color w:val="000000"/>
          <w:sz w:val="24"/>
        </w:rPr>
        <w:t>test_different_lengths — attention работает для разной длины (5 и 20 токенов).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i w:val="0"/>
          <w:color w:val="000000"/>
          <w:sz w:val="24"/>
        </w:rPr>
        <w:t>test_gqa_vs_vanilla_equivalence_single_token — для одного токена GQA и full MHA дают одинаковую форму.</w:t>
      </w:r>
    </w:p>
    <w:p>
      <w:pPr>
        <w:pStyle w:val="Heading2"/>
      </w:pPr>
      <w:r>
        <w:rPr>
          <w:rFonts w:ascii="Times New Roman" w:hAnsi="Times New Roman"/>
          <w:color w:val="000000"/>
          <w:sz w:val="28"/>
        </w:rPr>
        <w:t>6. Trade-offs и альтернативы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i w:val="0"/>
          <w:color w:val="000000"/>
          <w:sz w:val="24"/>
        </w:rPr>
        <w:t>1. GQA (12:4) vs MHA (12:12): выбрана GQA ради экономии KV-кэша на CPU. Альтернатива MQA (12:1) — ещё больше экономия, но слишком грубая аппроксимация для 150M.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i w:val="0"/>
          <w:color w:val="000000"/>
          <w:sz w:val="24"/>
        </w:rPr>
        <w:t>2. bias=False: убирает ~300K параметров для d_model=768, 12 голов. Стандарт LLaMA, работает с RMSNorm.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i w:val="0"/>
          <w:color w:val="000000"/>
          <w:sz w:val="24"/>
        </w:rPr>
        <w:t>3. Xavier vs Kaiming: Xavier — стандарт для attention. Kaiming предпочтительнее для ReLU-слоёв, для attention разница незначительна.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i w:val="0"/>
          <w:color w:val="000000"/>
          <w:sz w:val="24"/>
        </w:rPr>
        <w:t>4. Маска генерируется на лету: можно было бы создать в __init__ и переиспользовать, но при разной длине маска разного размера. Генерация на лету — универсальный вариант.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i w:val="0"/>
          <w:color w:val="000000"/>
          <w:sz w:val="24"/>
        </w:rPr>
        <w:t>5. Все головы в один batch: вместо цикла for head используем reshape(-1, L, d_k). Разница в скорости — до 10x на GPU.</w:t>
      </w:r>
    </w:p>
    <w:p>
      <w:pPr>
        <w:pStyle w:val="Heading2"/>
      </w:pPr>
      <w:r>
        <w:rPr>
          <w:rFonts w:ascii="Times New Roman" w:hAnsi="Times New Roman"/>
          <w:color w:val="000000"/>
          <w:sz w:val="28"/>
        </w:rPr>
        <w:t>7. Связь с теоретической лекцией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i w:val="0"/>
          <w:color w:val="000000"/>
          <w:sz w:val="24"/>
        </w:rPr>
        <w:t>Каждая строка кода прямо соотносится с формулами из Лекции 1: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i w:val="0"/>
          <w:color w:val="000000"/>
          <w:sz w:val="24"/>
        </w:rPr>
        <w:t>- Формула Attention(Q,K,V)=softmax(Q*K^T/sqrt(d_k))*V реализована в ScaledDotProductAttention.forward.</w:t>
        <w:br/>
        <w:t>- Масштабирование sqrt(d_k) — нормировочный коэффициент из лекции.</w:t>
        <w:br/>
        <w:t>- Multi-head (строки 78-80) — параллельные attention-головы с формулой MultiHead(Q,K,V)=Concat(head_1,...,head_h)*W_o.</w:t>
        <w:br/>
        <w:t>- Каузальная маска — авторегрессионность decoder-only.</w:t>
        <w:br/>
        <w:t>- Обратная проекция W_o — Concat(...)*W_o в лекционной нотации.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i w:val="0"/>
          <w:color w:val="000000"/>
          <w:sz w:val="24"/>
        </w:rPr>
        <w:t>В текущей реализации отсутствует RoPE-позиционное кодирование — будет добавлено в следующем цикле как отдельный слой. Residual connections и LayerNorm — на уровне блока трансформера.</w:t>
      </w:r>
    </w:p>
    <w:p>
      <w:pPr>
        <w:pStyle w:val="Heading2"/>
      </w:pPr>
      <w:r>
        <w:rPr>
          <w:rFonts w:ascii="Times New Roman" w:hAnsi="Times New Roman"/>
          <w:color w:val="000000"/>
          <w:sz w:val="28"/>
        </w:rPr>
        <w:t>8. Производительность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i w:val="0"/>
          <w:color w:val="000000"/>
          <w:sz w:val="24"/>
        </w:rPr>
        <w:t>Для модели 150M, d_model=768, 12 голов, d_k=64, контекст 2048: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i w:val="0"/>
          <w:color w:val="000000"/>
          <w:sz w:val="24"/>
        </w:rPr>
        <w:t>- Q*K^T: O(B * L^2 * d_k) = 2 * 2048^2 * 64 ~= 537M операций на слой.</w:t>
        <w:br/>
        <w:t>- attn*V: O(B * L^2 * d_k) — те же 537M.</w:t>
        <w:br/>
        <w:t>- Итого на 12 слоёв: ~12.9 млрд операций на forward.</w:t>
        <w:br/>
        <w:t>- Скорость на CPU (4 ядра, ~10 GFLOPS): ~1-2 секунды на токен.</w:t>
        <w:br/>
        <w:t>- KV-кэш: 2 * L * n_kv_heads * d_k * sizeof(fp16) = 2 * 2048 * 4 * 64 * 2 = 2 МБ на слой, 24 МБ на все 12 слоёв.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i w:val="0"/>
          <w:color w:val="000000"/>
          <w:sz w:val="24"/>
        </w:rPr>
        <w:t>Без GQA (n_kv_heads=12): 72 МБ — разница в 3 раза. Для CPU с 8GB RAM 50 МБ не критично, но для контекста 4096+ экономия становится существенной.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