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5711D" w14:textId="3938AE4E" w:rsidR="643A7971" w:rsidRDefault="643A7971" w:rsidP="00ABEAA9">
      <w:pPr>
        <w:pStyle w:val="Ttol1"/>
        <w:spacing w:before="322" w:after="322"/>
      </w:pPr>
      <w:r w:rsidRPr="00ABEAA9">
        <w:rPr>
          <w:rFonts w:ascii="Aptos" w:eastAsia="Aptos" w:hAnsi="Aptos" w:cs="Aptos"/>
          <w:b/>
          <w:bCs/>
          <w:sz w:val="48"/>
          <w:szCs w:val="48"/>
        </w:rPr>
        <w:t>Documentación y Guías Técnicas de Referencia (ENS)</w:t>
      </w:r>
    </w:p>
    <w:p w14:paraId="02FE5F39" w14:textId="624BB8AA" w:rsidR="643A7971" w:rsidRDefault="643A7971" w:rsidP="00ABEAA9">
      <w:pPr>
        <w:spacing w:before="240" w:after="240"/>
      </w:pPr>
      <w:r w:rsidRPr="00ABEAA9">
        <w:rPr>
          <w:rFonts w:ascii="Aptos" w:eastAsia="Aptos" w:hAnsi="Aptos" w:cs="Aptos"/>
          <w:b/>
          <w:bCs/>
        </w:rPr>
        <w:t>Alcance:</w:t>
      </w:r>
      <w:r w:rsidRPr="00ABEAA9">
        <w:rPr>
          <w:rFonts w:ascii="Aptos" w:eastAsia="Aptos" w:hAnsi="Aptos" w:cs="Aptos"/>
        </w:rPr>
        <w:t xml:space="preserve"> Plataforma SaaS IA Generativa - Azure </w:t>
      </w:r>
      <w:proofErr w:type="spellStart"/>
      <w:r w:rsidRPr="00ABEAA9">
        <w:rPr>
          <w:rFonts w:ascii="Aptos" w:eastAsia="Aptos" w:hAnsi="Aptos" w:cs="Aptos"/>
        </w:rPr>
        <w:t>Landing</w:t>
      </w:r>
      <w:proofErr w:type="spellEnd"/>
      <w:r w:rsidRPr="00ABEAA9">
        <w:rPr>
          <w:rFonts w:ascii="Aptos" w:eastAsia="Aptos" w:hAnsi="Aptos" w:cs="Aptos"/>
        </w:rPr>
        <w:t xml:space="preserve"> </w:t>
      </w:r>
      <w:proofErr w:type="spellStart"/>
      <w:r w:rsidRPr="00ABEAA9">
        <w:rPr>
          <w:rFonts w:ascii="Aptos" w:eastAsia="Aptos" w:hAnsi="Aptos" w:cs="Aptos"/>
        </w:rPr>
        <w:t>Zone</w:t>
      </w:r>
      <w:proofErr w:type="spellEnd"/>
      <w:r w:rsidRPr="00ABEAA9">
        <w:rPr>
          <w:rFonts w:ascii="Aptos" w:eastAsia="Aptos" w:hAnsi="Aptos" w:cs="Aptos"/>
        </w:rPr>
        <w:t xml:space="preserve"> </w:t>
      </w:r>
      <w:r w:rsidRPr="00ABEAA9">
        <w:rPr>
          <w:rFonts w:ascii="Aptos" w:eastAsia="Aptos" w:hAnsi="Aptos" w:cs="Aptos"/>
          <w:b/>
          <w:bCs/>
        </w:rPr>
        <w:t>Fecha:</w:t>
      </w:r>
      <w:r w:rsidRPr="00ABEAA9">
        <w:rPr>
          <w:rFonts w:ascii="Aptos" w:eastAsia="Aptos" w:hAnsi="Aptos" w:cs="Aptos"/>
        </w:rPr>
        <w:t xml:space="preserve"> 29 de Noviembre de 2024 </w:t>
      </w:r>
      <w:r w:rsidRPr="00ABEAA9">
        <w:rPr>
          <w:rFonts w:ascii="Aptos" w:eastAsia="Aptos" w:hAnsi="Aptos" w:cs="Aptos"/>
          <w:b/>
          <w:bCs/>
        </w:rPr>
        <w:t>Versión:</w:t>
      </w:r>
      <w:r w:rsidRPr="00ABEAA9">
        <w:rPr>
          <w:rFonts w:ascii="Aptos" w:eastAsia="Aptos" w:hAnsi="Aptos" w:cs="Aptos"/>
        </w:rPr>
        <w:t xml:space="preserve"> 1.1</w:t>
      </w:r>
    </w:p>
    <w:p w14:paraId="384B063A" w14:textId="44AE3E76" w:rsidR="643A7971" w:rsidRDefault="643A7971" w:rsidP="00ABEAA9">
      <w:pPr>
        <w:pStyle w:val="Ttol3"/>
        <w:spacing w:before="281" w:after="281"/>
      </w:pPr>
      <w:r w:rsidRPr="00ABEAA9">
        <w:rPr>
          <w:rFonts w:ascii="Aptos" w:eastAsia="Aptos" w:hAnsi="Aptos" w:cs="Aptos"/>
          <w:b/>
          <w:bCs/>
        </w:rPr>
        <w:t>1. Objeto</w:t>
      </w:r>
    </w:p>
    <w:p w14:paraId="4E218023" w14:textId="6F1A7274" w:rsidR="643A7971" w:rsidRDefault="643A7971" w:rsidP="00ABEAA9">
      <w:pPr>
        <w:spacing w:before="240" w:after="240"/>
      </w:pPr>
      <w:r w:rsidRPr="00ABEAA9">
        <w:rPr>
          <w:rFonts w:ascii="Aptos" w:eastAsia="Aptos" w:hAnsi="Aptos" w:cs="Aptos"/>
        </w:rPr>
        <w:t xml:space="preserve">El presente documento </w:t>
      </w:r>
      <w:proofErr w:type="spellStart"/>
      <w:r w:rsidRPr="00ABEAA9">
        <w:rPr>
          <w:rFonts w:ascii="Aptos" w:eastAsia="Aptos" w:hAnsi="Aptos" w:cs="Aptos"/>
        </w:rPr>
        <w:t>inventaria</w:t>
      </w:r>
      <w:proofErr w:type="spellEnd"/>
      <w:r w:rsidRPr="00ABEAA9">
        <w:rPr>
          <w:rFonts w:ascii="Aptos" w:eastAsia="Aptos" w:hAnsi="Aptos" w:cs="Aptos"/>
        </w:rPr>
        <w:t xml:space="preserve"> y detalla el cuerpo normativo, las guías de mejores prácticas y las instrucciones técnicas utilizadas por los equipos de ingeniería, </w:t>
      </w:r>
      <w:proofErr w:type="spellStart"/>
      <w:r w:rsidRPr="00ABEAA9">
        <w:rPr>
          <w:rFonts w:ascii="Aptos" w:eastAsia="Aptos" w:hAnsi="Aptos" w:cs="Aptos"/>
        </w:rPr>
        <w:t>DevSecOps</w:t>
      </w:r>
      <w:proofErr w:type="spellEnd"/>
      <w:r w:rsidRPr="00ABEAA9">
        <w:rPr>
          <w:rFonts w:ascii="Aptos" w:eastAsia="Aptos" w:hAnsi="Aptos" w:cs="Aptos"/>
        </w:rPr>
        <w:t xml:space="preserve"> y seguridad. Su propósito es garantizar la correcta implantación, mantenimiento y auditoría de las medidas de seguridad exigidas por el Esquema Nacional de Seguridad (ENS) en la plataforma. Este inventario sirve como "fuente de verdad" para la toma de decisiones arquitectónicas y asegura la alineación entre los objetivos de negocio y los requisitos de cumplimiento.</w:t>
      </w:r>
    </w:p>
    <w:p w14:paraId="4805ABEF" w14:textId="08A5C0D9" w:rsidR="643A7971" w:rsidRDefault="643A7971" w:rsidP="00ABEAA9">
      <w:pPr>
        <w:pStyle w:val="Ttol3"/>
        <w:spacing w:before="281" w:after="281"/>
      </w:pPr>
      <w:r w:rsidRPr="00ABEAA9">
        <w:rPr>
          <w:rFonts w:ascii="Aptos" w:eastAsia="Aptos" w:hAnsi="Aptos" w:cs="Aptos"/>
          <w:b/>
          <w:bCs/>
        </w:rPr>
        <w:t>2. Marco Normativo Principal</w:t>
      </w:r>
    </w:p>
    <w:p w14:paraId="003218E6" w14:textId="2D61BF3A" w:rsidR="643A7971" w:rsidRDefault="643A7971" w:rsidP="00ABEAA9">
      <w:pPr>
        <w:spacing w:before="240" w:after="240"/>
      </w:pPr>
      <w:r w:rsidRPr="00ABEAA9">
        <w:rPr>
          <w:rFonts w:ascii="Aptos" w:eastAsia="Aptos" w:hAnsi="Aptos" w:cs="Aptos"/>
        </w:rPr>
        <w:t>La base del cumplimiento y la estrategia de gobernanza se rigen por la legislación vigente, que establece los requisitos mínimos obligatorios:</w:t>
      </w:r>
    </w:p>
    <w:p w14:paraId="159E3751" w14:textId="527B8C2C" w:rsidR="643A7971" w:rsidRDefault="643A7971" w:rsidP="00ABEAA9">
      <w:pPr>
        <w:pStyle w:val="Pargrafdel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>Real Decreto 311/2022</w:t>
      </w:r>
      <w:r w:rsidRPr="00ABEAA9">
        <w:rPr>
          <w:rFonts w:ascii="Aptos" w:eastAsia="Aptos" w:hAnsi="Aptos" w:cs="Aptos"/>
        </w:rPr>
        <w:t>, de 3 de mayo, por el que se regula el Esquema Nacional de Seguridad (ENS). Se presta especial atención a los principios básicos de seguridad integral, gestión de riesgos y prevención, detección, respuesta y conservación.</w:t>
      </w:r>
    </w:p>
    <w:p w14:paraId="5BBBE3B6" w14:textId="134044AA" w:rsidR="643A7971" w:rsidRDefault="643A7971" w:rsidP="00ABEAA9">
      <w:pPr>
        <w:pStyle w:val="Pargrafdel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>Reglamento (UE) 2016/679 (RGPD)</w:t>
      </w:r>
      <w:r w:rsidRPr="00ABEAA9">
        <w:rPr>
          <w:rFonts w:ascii="Aptos" w:eastAsia="Aptos" w:hAnsi="Aptos" w:cs="Aptos"/>
        </w:rPr>
        <w:t>, relativo a la protección de las personas físicas en lo que respecta al tratamiento de datos personales y a la libre circulación de estos datos. Se integra en el ciclo de vida del desarrollo mediante los principios de privacidad desde el diseño y por defecto, asegurando la protección de los derechos de los interesados.</w:t>
      </w:r>
    </w:p>
    <w:p w14:paraId="1483FE06" w14:textId="6329C44D" w:rsidR="643A7971" w:rsidRDefault="643A7971" w:rsidP="00ABEAA9">
      <w:pPr>
        <w:pStyle w:val="Ttol3"/>
        <w:spacing w:before="281" w:after="281"/>
      </w:pPr>
      <w:r w:rsidRPr="00ABEAA9">
        <w:rPr>
          <w:rFonts w:ascii="Aptos" w:eastAsia="Aptos" w:hAnsi="Aptos" w:cs="Aptos"/>
          <w:b/>
          <w:bCs/>
        </w:rPr>
        <w:t>3. Guías CCN-STIC (Centro Criptológico Nacional)</w:t>
      </w:r>
    </w:p>
    <w:p w14:paraId="765E492B" w14:textId="04C728D9" w:rsidR="643A7971" w:rsidRDefault="643A7971" w:rsidP="00ABEAA9">
      <w:pPr>
        <w:spacing w:before="240" w:after="240"/>
      </w:pPr>
      <w:r w:rsidRPr="00ABEAA9">
        <w:rPr>
          <w:rFonts w:ascii="Aptos" w:eastAsia="Aptos" w:hAnsi="Aptos" w:cs="Aptos"/>
        </w:rPr>
        <w:t>Se emplean las siguientes guías de la serie STIC como referencia técnica autorizada para la configuración segura (</w:t>
      </w:r>
      <w:proofErr w:type="spellStart"/>
      <w:r w:rsidRPr="00ABEAA9">
        <w:rPr>
          <w:rFonts w:ascii="Aptos" w:eastAsia="Aptos" w:hAnsi="Aptos" w:cs="Aptos"/>
        </w:rPr>
        <w:t>hardening</w:t>
      </w:r>
      <w:proofErr w:type="spellEnd"/>
      <w:r w:rsidRPr="00ABEAA9">
        <w:rPr>
          <w:rFonts w:ascii="Aptos" w:eastAsia="Aptos" w:hAnsi="Aptos" w:cs="Aptos"/>
        </w:rPr>
        <w:t>) de los componentes:</w:t>
      </w:r>
    </w:p>
    <w:p w14:paraId="56CFD822" w14:textId="6D31F1F5" w:rsidR="643A7971" w:rsidRDefault="643A7971" w:rsidP="00ABEAA9">
      <w:pPr>
        <w:pStyle w:val="Ttol4"/>
        <w:spacing w:before="319" w:after="319"/>
      </w:pPr>
      <w:r w:rsidRPr="00ABEAA9">
        <w:rPr>
          <w:rFonts w:ascii="Aptos" w:eastAsia="Aptos" w:hAnsi="Aptos" w:cs="Aptos"/>
          <w:b/>
          <w:bCs/>
        </w:rPr>
        <w:lastRenderedPageBreak/>
        <w:t>3.1. Gestión y Cumplimiento</w:t>
      </w:r>
    </w:p>
    <w:p w14:paraId="300D51E2" w14:textId="1A91F85B" w:rsidR="643A7971" w:rsidRDefault="643A7971" w:rsidP="00ABEAA9">
      <w:pPr>
        <w:pStyle w:val="Pargrafdel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>CCN-STIC-803:</w:t>
      </w:r>
      <w:r w:rsidRPr="00ABEAA9">
        <w:rPr>
          <w:rFonts w:ascii="Aptos" w:eastAsia="Aptos" w:hAnsi="Aptos" w:cs="Aptos"/>
        </w:rPr>
        <w:t xml:space="preserve"> Valoración de los sistemas en el ENS. Utilizada metodológicamente para determinar la categoría del sistema (Media) mediante la evaluación del impacto en las dimensiones de confidencialidad, integridad, trazabilidad, autenticidad y disponibilidad.</w:t>
      </w:r>
    </w:p>
    <w:p w14:paraId="2932A804" w14:textId="3EC94675" w:rsidR="643A7971" w:rsidRDefault="643A7971" w:rsidP="00ABEAA9">
      <w:pPr>
        <w:pStyle w:val="Pargrafdel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>CCN-STIC-823:</w:t>
      </w:r>
      <w:r w:rsidRPr="00ABEAA9">
        <w:rPr>
          <w:rFonts w:ascii="Aptos" w:eastAsia="Aptos" w:hAnsi="Aptos" w:cs="Aptos"/>
        </w:rPr>
        <w:t xml:space="preserve"> Guía de seguridad en entornos Nube. Base fundamental para establecer la estrategia de responsabilidad compartida con Microsoft, delimitando claramente las obligaciones del proveedor (seguridad </w:t>
      </w:r>
      <w:r w:rsidRPr="00ABEAA9">
        <w:rPr>
          <w:rFonts w:ascii="Aptos" w:eastAsia="Aptos" w:hAnsi="Aptos" w:cs="Aptos"/>
          <w:i/>
          <w:iCs/>
        </w:rPr>
        <w:t>de</w:t>
      </w:r>
      <w:r w:rsidRPr="00ABEAA9">
        <w:rPr>
          <w:rFonts w:ascii="Aptos" w:eastAsia="Aptos" w:hAnsi="Aptos" w:cs="Aptos"/>
        </w:rPr>
        <w:t xml:space="preserve"> la nube) y del cliente (seguridad </w:t>
      </w:r>
      <w:r w:rsidRPr="00ABEAA9">
        <w:rPr>
          <w:rFonts w:ascii="Aptos" w:eastAsia="Aptos" w:hAnsi="Aptos" w:cs="Aptos"/>
          <w:i/>
          <w:iCs/>
        </w:rPr>
        <w:t>en</w:t>
      </w:r>
      <w:r w:rsidRPr="00ABEAA9">
        <w:rPr>
          <w:rFonts w:ascii="Aptos" w:eastAsia="Aptos" w:hAnsi="Aptos" w:cs="Aptos"/>
        </w:rPr>
        <w:t xml:space="preserve"> la nube).</w:t>
      </w:r>
    </w:p>
    <w:p w14:paraId="36451008" w14:textId="4DC65D71" w:rsidR="643A7971" w:rsidRDefault="643A7971" w:rsidP="00ABEAA9">
      <w:pPr>
        <w:pStyle w:val="Ttol4"/>
        <w:spacing w:before="319" w:after="319"/>
      </w:pPr>
      <w:r w:rsidRPr="00ABEAA9">
        <w:rPr>
          <w:rFonts w:ascii="Aptos" w:eastAsia="Aptos" w:hAnsi="Aptos" w:cs="Aptos"/>
          <w:b/>
          <w:bCs/>
        </w:rPr>
        <w:t>3.2. Configuración Técnica Específica</w:t>
      </w:r>
    </w:p>
    <w:p w14:paraId="3752C8BE" w14:textId="74D9DF28" w:rsidR="643A7971" w:rsidRDefault="643A7971" w:rsidP="00ABEAA9">
      <w:pPr>
        <w:pStyle w:val="Pargrafdel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>CCN-STIC-884:</w:t>
      </w:r>
      <w:r w:rsidRPr="00ABEAA9">
        <w:rPr>
          <w:rFonts w:ascii="Aptos" w:eastAsia="Aptos" w:hAnsi="Aptos" w:cs="Aptos"/>
        </w:rPr>
        <w:t xml:space="preserve"> Guía de configuración segura para Microsoft Azure. Utilizada para el </w:t>
      </w:r>
      <w:proofErr w:type="spellStart"/>
      <w:r w:rsidRPr="00ABEAA9">
        <w:rPr>
          <w:rFonts w:ascii="Aptos" w:eastAsia="Aptos" w:hAnsi="Aptos" w:cs="Aptos"/>
          <w:i/>
          <w:iCs/>
        </w:rPr>
        <w:t>hardening</w:t>
      </w:r>
      <w:proofErr w:type="spellEnd"/>
      <w:r w:rsidRPr="00ABEAA9">
        <w:rPr>
          <w:rFonts w:ascii="Aptos" w:eastAsia="Aptos" w:hAnsi="Aptos" w:cs="Aptos"/>
        </w:rPr>
        <w:t xml:space="preserve"> granular de la suscripción, incluyendo la configuración de </w:t>
      </w:r>
      <w:r w:rsidRPr="00ABEAA9">
        <w:rPr>
          <w:rFonts w:ascii="Aptos" w:eastAsia="Aptos" w:hAnsi="Aptos" w:cs="Aptos"/>
          <w:i/>
          <w:iCs/>
        </w:rPr>
        <w:t xml:space="preserve">Network Security </w:t>
      </w:r>
      <w:proofErr w:type="spellStart"/>
      <w:r w:rsidRPr="00ABEAA9">
        <w:rPr>
          <w:rFonts w:ascii="Aptos" w:eastAsia="Aptos" w:hAnsi="Aptos" w:cs="Aptos"/>
          <w:i/>
          <w:iCs/>
        </w:rPr>
        <w:t>Groups</w:t>
      </w:r>
      <w:proofErr w:type="spellEnd"/>
      <w:r w:rsidRPr="00ABEAA9">
        <w:rPr>
          <w:rFonts w:ascii="Aptos" w:eastAsia="Aptos" w:hAnsi="Aptos" w:cs="Aptos"/>
        </w:rPr>
        <w:t xml:space="preserve"> (NSG), políticas de RBAC y la protección de servicios PaaS como Azure SQL y Storage </w:t>
      </w:r>
      <w:proofErr w:type="spellStart"/>
      <w:r w:rsidRPr="00ABEAA9">
        <w:rPr>
          <w:rFonts w:ascii="Aptos" w:eastAsia="Aptos" w:hAnsi="Aptos" w:cs="Aptos"/>
        </w:rPr>
        <w:t>Accounts</w:t>
      </w:r>
      <w:proofErr w:type="spellEnd"/>
      <w:r w:rsidRPr="00ABEAA9">
        <w:rPr>
          <w:rFonts w:ascii="Aptos" w:eastAsia="Aptos" w:hAnsi="Aptos" w:cs="Aptos"/>
        </w:rPr>
        <w:t>.</w:t>
      </w:r>
    </w:p>
    <w:p w14:paraId="5E5777C8" w14:textId="3D43A7B2" w:rsidR="643A7971" w:rsidRDefault="643A7971" w:rsidP="00ABEAA9">
      <w:pPr>
        <w:pStyle w:val="Pargrafdel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>CCN-STIC-88</w:t>
      </w:r>
      <w:r w:rsidR="006E6525">
        <w:rPr>
          <w:rFonts w:ascii="Aptos" w:eastAsia="Aptos" w:hAnsi="Aptos" w:cs="Aptos"/>
          <w:b/>
          <w:bCs/>
        </w:rPr>
        <w:t>4B</w:t>
      </w:r>
      <w:r w:rsidRPr="00ABEAA9">
        <w:rPr>
          <w:rFonts w:ascii="Aptos" w:eastAsia="Aptos" w:hAnsi="Aptos" w:cs="Aptos"/>
          <w:b/>
          <w:bCs/>
        </w:rPr>
        <w:t>:</w:t>
      </w:r>
      <w:r w:rsidRPr="00ABEAA9">
        <w:rPr>
          <w:rFonts w:ascii="Aptos" w:eastAsia="Aptos" w:hAnsi="Aptos" w:cs="Aptos"/>
        </w:rPr>
        <w:t xml:space="preserve"> Guía de seguridad en contenedores y microservicios. Aplicable a los entornos de ejecución modernos como Azure App </w:t>
      </w:r>
      <w:proofErr w:type="spellStart"/>
      <w:r w:rsidRPr="00ABEAA9">
        <w:rPr>
          <w:rFonts w:ascii="Aptos" w:eastAsia="Aptos" w:hAnsi="Aptos" w:cs="Aptos"/>
        </w:rPr>
        <w:t>Service</w:t>
      </w:r>
      <w:proofErr w:type="spellEnd"/>
      <w:r w:rsidRPr="00ABEAA9">
        <w:rPr>
          <w:rFonts w:ascii="Aptos" w:eastAsia="Aptos" w:hAnsi="Aptos" w:cs="Aptos"/>
        </w:rPr>
        <w:t xml:space="preserve"> y </w:t>
      </w:r>
      <w:proofErr w:type="spellStart"/>
      <w:r w:rsidRPr="00ABEAA9">
        <w:rPr>
          <w:rFonts w:ascii="Aptos" w:eastAsia="Aptos" w:hAnsi="Aptos" w:cs="Aptos"/>
        </w:rPr>
        <w:t>Kubernetes</w:t>
      </w:r>
      <w:proofErr w:type="spellEnd"/>
      <w:r w:rsidRPr="00ABEAA9">
        <w:rPr>
          <w:rFonts w:ascii="Aptos" w:eastAsia="Aptos" w:hAnsi="Aptos" w:cs="Aptos"/>
        </w:rPr>
        <w:t>, definiendo directrices para el escaneo de vulnerabilidades en imágenes, la gestión de secretos y el aislamiento de cargas de trabajo.</w:t>
      </w:r>
    </w:p>
    <w:p w14:paraId="0121BA52" w14:textId="568299D7" w:rsidR="643A7971" w:rsidRDefault="643A7971" w:rsidP="00ABEAA9">
      <w:pPr>
        <w:pStyle w:val="Pargrafdel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>CCN-STIC-8</w:t>
      </w:r>
      <w:r w:rsidR="00025A22">
        <w:rPr>
          <w:rFonts w:ascii="Aptos" w:eastAsia="Aptos" w:hAnsi="Aptos" w:cs="Aptos"/>
          <w:b/>
          <w:bCs/>
        </w:rPr>
        <w:t>04</w:t>
      </w:r>
      <w:r w:rsidRPr="00ABEAA9">
        <w:rPr>
          <w:rFonts w:ascii="Aptos" w:eastAsia="Aptos" w:hAnsi="Aptos" w:cs="Aptos"/>
          <w:b/>
          <w:bCs/>
        </w:rPr>
        <w:t>:</w:t>
      </w:r>
      <w:r w:rsidRPr="00ABEAA9">
        <w:rPr>
          <w:rFonts w:ascii="Aptos" w:eastAsia="Aptos" w:hAnsi="Aptos" w:cs="Aptos"/>
        </w:rPr>
        <w:t xml:space="preserve"> </w:t>
      </w:r>
      <w:r w:rsidR="00025A22">
        <w:rPr>
          <w:rFonts w:ascii="Aptos" w:eastAsia="Aptos" w:hAnsi="Aptos" w:cs="Aptos"/>
        </w:rPr>
        <w:t>Proporciona</w:t>
      </w:r>
      <w:r w:rsidRPr="00ABEAA9">
        <w:rPr>
          <w:rFonts w:ascii="Aptos" w:eastAsia="Aptos" w:hAnsi="Aptos" w:cs="Aptos"/>
        </w:rPr>
        <w:t xml:space="preserve"> el catálogo detallado de medidas de seguridad concretas que deben implementarse para cumplir con el perfil de cumplimiento medio.</w:t>
      </w:r>
    </w:p>
    <w:p w14:paraId="28163577" w14:textId="0F1F57A2" w:rsidR="643A7971" w:rsidRDefault="643A7971" w:rsidP="00ABEAA9">
      <w:pPr>
        <w:pStyle w:val="Ttol3"/>
        <w:spacing w:before="281" w:after="281"/>
      </w:pPr>
      <w:r w:rsidRPr="00ABEAA9">
        <w:rPr>
          <w:rFonts w:ascii="Aptos" w:eastAsia="Aptos" w:hAnsi="Aptos" w:cs="Aptos"/>
          <w:b/>
          <w:bCs/>
        </w:rPr>
        <w:t>4. Estándares y Guías de Fabricantes (Microsoft)</w:t>
      </w:r>
    </w:p>
    <w:p w14:paraId="51995D86" w14:textId="567F79F5" w:rsidR="643A7971" w:rsidRDefault="643A7971" w:rsidP="00ABEAA9">
      <w:pPr>
        <w:spacing w:before="240" w:after="240"/>
      </w:pPr>
      <w:r w:rsidRPr="00ABEAA9">
        <w:rPr>
          <w:rFonts w:ascii="Aptos" w:eastAsia="Aptos" w:hAnsi="Aptos" w:cs="Aptos"/>
        </w:rPr>
        <w:t>Dado que la infraestructura reside íntegramente en Azure, se siguen estrictamente las prescripciones y marcos de trabajo del fabricante para garantizar la compatibilidad y seguridad nativa:</w:t>
      </w:r>
    </w:p>
    <w:p w14:paraId="5921A84D" w14:textId="1CB38A88" w:rsidR="643A7971" w:rsidRDefault="643A7971" w:rsidP="00ABEAA9">
      <w:pPr>
        <w:pStyle w:val="Pargrafdel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 xml:space="preserve">Microsoft Cloud Security </w:t>
      </w:r>
      <w:proofErr w:type="spellStart"/>
      <w:r w:rsidRPr="00ABEAA9">
        <w:rPr>
          <w:rFonts w:ascii="Aptos" w:eastAsia="Aptos" w:hAnsi="Aptos" w:cs="Aptos"/>
          <w:b/>
          <w:bCs/>
        </w:rPr>
        <w:t>Benchmark</w:t>
      </w:r>
      <w:proofErr w:type="spellEnd"/>
      <w:r w:rsidRPr="00ABEAA9">
        <w:rPr>
          <w:rFonts w:ascii="Aptos" w:eastAsia="Aptos" w:hAnsi="Aptos" w:cs="Aptos"/>
          <w:b/>
          <w:bCs/>
        </w:rPr>
        <w:t xml:space="preserve"> (MCSB):</w:t>
      </w:r>
      <w:r w:rsidRPr="00ABEAA9">
        <w:rPr>
          <w:rFonts w:ascii="Aptos" w:eastAsia="Aptos" w:hAnsi="Aptos" w:cs="Aptos"/>
        </w:rPr>
        <w:t xml:space="preserve"> Estándar de seguridad predeterminado aplicado mediante </w:t>
      </w:r>
      <w:r w:rsidRPr="00ABEAA9">
        <w:rPr>
          <w:rFonts w:ascii="Aptos" w:eastAsia="Aptos" w:hAnsi="Aptos" w:cs="Aptos"/>
          <w:i/>
          <w:iCs/>
        </w:rPr>
        <w:t xml:space="preserve">Azure </w:t>
      </w:r>
      <w:proofErr w:type="spellStart"/>
      <w:r w:rsidRPr="00ABEAA9">
        <w:rPr>
          <w:rFonts w:ascii="Aptos" w:eastAsia="Aptos" w:hAnsi="Aptos" w:cs="Aptos"/>
          <w:i/>
          <w:iCs/>
        </w:rPr>
        <w:t>Policy</w:t>
      </w:r>
      <w:proofErr w:type="spellEnd"/>
      <w:r w:rsidRPr="00ABEAA9">
        <w:rPr>
          <w:rFonts w:ascii="Aptos" w:eastAsia="Aptos" w:hAnsi="Aptos" w:cs="Aptos"/>
        </w:rPr>
        <w:t xml:space="preserve"> en la </w:t>
      </w:r>
      <w:proofErr w:type="spellStart"/>
      <w:r w:rsidRPr="00ABEAA9">
        <w:rPr>
          <w:rFonts w:ascii="Aptos" w:eastAsia="Aptos" w:hAnsi="Aptos" w:cs="Aptos"/>
        </w:rPr>
        <w:t>Landing</w:t>
      </w:r>
      <w:proofErr w:type="spellEnd"/>
      <w:r w:rsidRPr="00ABEAA9">
        <w:rPr>
          <w:rFonts w:ascii="Aptos" w:eastAsia="Aptos" w:hAnsi="Aptos" w:cs="Aptos"/>
        </w:rPr>
        <w:t xml:space="preserve"> </w:t>
      </w:r>
      <w:proofErr w:type="spellStart"/>
      <w:r w:rsidRPr="00ABEAA9">
        <w:rPr>
          <w:rFonts w:ascii="Aptos" w:eastAsia="Aptos" w:hAnsi="Aptos" w:cs="Aptos"/>
        </w:rPr>
        <w:t>Zone</w:t>
      </w:r>
      <w:proofErr w:type="spellEnd"/>
      <w:r w:rsidRPr="00ABEAA9">
        <w:rPr>
          <w:rFonts w:ascii="Aptos" w:eastAsia="Aptos" w:hAnsi="Aptos" w:cs="Aptos"/>
        </w:rPr>
        <w:t xml:space="preserve">. Este marco armoniza las recomendaciones del </w:t>
      </w:r>
      <w:r w:rsidRPr="00ABEAA9">
        <w:rPr>
          <w:rFonts w:ascii="Aptos" w:eastAsia="Aptos" w:hAnsi="Aptos" w:cs="Aptos"/>
          <w:i/>
          <w:iCs/>
        </w:rPr>
        <w:t xml:space="preserve">Center </w:t>
      </w:r>
      <w:proofErr w:type="spellStart"/>
      <w:r w:rsidRPr="00ABEAA9">
        <w:rPr>
          <w:rFonts w:ascii="Aptos" w:eastAsia="Aptos" w:hAnsi="Aptos" w:cs="Aptos"/>
          <w:i/>
          <w:iCs/>
        </w:rPr>
        <w:t>for</w:t>
      </w:r>
      <w:proofErr w:type="spellEnd"/>
      <w:r w:rsidRPr="00ABEAA9">
        <w:rPr>
          <w:rFonts w:ascii="Aptos" w:eastAsia="Aptos" w:hAnsi="Aptos" w:cs="Aptos"/>
          <w:i/>
          <w:iCs/>
        </w:rPr>
        <w:t xml:space="preserve"> Internet Security</w:t>
      </w:r>
      <w:r w:rsidRPr="00ABEAA9">
        <w:rPr>
          <w:rFonts w:ascii="Aptos" w:eastAsia="Aptos" w:hAnsi="Aptos" w:cs="Aptos"/>
        </w:rPr>
        <w:t xml:space="preserve"> (CIS) y el NIST con las capacidades nativas de Azure.</w:t>
      </w:r>
    </w:p>
    <w:p w14:paraId="6690F865" w14:textId="3B88C54C" w:rsidR="643A7971" w:rsidRDefault="643A7971" w:rsidP="00ABEAA9">
      <w:pPr>
        <w:pStyle w:val="Pargrafdel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 xml:space="preserve">Azure </w:t>
      </w:r>
      <w:proofErr w:type="spellStart"/>
      <w:r w:rsidRPr="00ABEAA9">
        <w:rPr>
          <w:rFonts w:ascii="Aptos" w:eastAsia="Aptos" w:hAnsi="Aptos" w:cs="Aptos"/>
          <w:b/>
          <w:bCs/>
        </w:rPr>
        <w:t>Well-Architected</w:t>
      </w:r>
      <w:proofErr w:type="spellEnd"/>
      <w:r w:rsidRPr="00ABEAA9">
        <w:rPr>
          <w:rFonts w:ascii="Aptos" w:eastAsia="Aptos" w:hAnsi="Aptos" w:cs="Aptos"/>
          <w:b/>
          <w:bCs/>
        </w:rPr>
        <w:t xml:space="preserve"> Framework - Security Pillar:</w:t>
      </w:r>
      <w:r w:rsidRPr="00ABEAA9">
        <w:rPr>
          <w:rFonts w:ascii="Aptos" w:eastAsia="Aptos" w:hAnsi="Aptos" w:cs="Aptos"/>
        </w:rPr>
        <w:t xml:space="preserve"> Guía de arquitectura de referencia utilizada para el diseño de la topología de red Hub-and-</w:t>
      </w:r>
      <w:proofErr w:type="spellStart"/>
      <w:r w:rsidRPr="00ABEAA9">
        <w:rPr>
          <w:rFonts w:ascii="Aptos" w:eastAsia="Aptos" w:hAnsi="Aptos" w:cs="Aptos"/>
        </w:rPr>
        <w:t>Spoke</w:t>
      </w:r>
      <w:proofErr w:type="spellEnd"/>
      <w:r w:rsidRPr="00ABEAA9">
        <w:rPr>
          <w:rFonts w:ascii="Aptos" w:eastAsia="Aptos" w:hAnsi="Aptos" w:cs="Aptos"/>
        </w:rPr>
        <w:t>, garantizando la defensa en profundidad, la segregación de redes y la resiliencia ante ataques.</w:t>
      </w:r>
    </w:p>
    <w:p w14:paraId="3EAAE602" w14:textId="7AB4E996" w:rsidR="643A7971" w:rsidRDefault="643A7971" w:rsidP="00ABEAA9">
      <w:pPr>
        <w:pStyle w:val="Pargrafdel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 xml:space="preserve">Microsoft Defender </w:t>
      </w:r>
      <w:proofErr w:type="spellStart"/>
      <w:r w:rsidRPr="00ABEAA9">
        <w:rPr>
          <w:rFonts w:ascii="Aptos" w:eastAsia="Aptos" w:hAnsi="Aptos" w:cs="Aptos"/>
          <w:b/>
          <w:bCs/>
        </w:rPr>
        <w:t>for</w:t>
      </w:r>
      <w:proofErr w:type="spellEnd"/>
      <w:r w:rsidRPr="00ABEAA9">
        <w:rPr>
          <w:rFonts w:ascii="Aptos" w:eastAsia="Aptos" w:hAnsi="Aptos" w:cs="Aptos"/>
          <w:b/>
          <w:bCs/>
        </w:rPr>
        <w:t xml:space="preserve"> Cloud </w:t>
      </w:r>
      <w:proofErr w:type="spellStart"/>
      <w:r w:rsidRPr="00ABEAA9">
        <w:rPr>
          <w:rFonts w:ascii="Aptos" w:eastAsia="Aptos" w:hAnsi="Aptos" w:cs="Aptos"/>
          <w:b/>
          <w:bCs/>
        </w:rPr>
        <w:t>Regulatory</w:t>
      </w:r>
      <w:proofErr w:type="spellEnd"/>
      <w:r w:rsidRPr="00ABEAA9">
        <w:rPr>
          <w:rFonts w:ascii="Aptos" w:eastAsia="Aptos" w:hAnsi="Aptos" w:cs="Aptos"/>
          <w:b/>
          <w:bCs/>
        </w:rPr>
        <w:t xml:space="preserve"> Compliance:</w:t>
      </w:r>
      <w:r w:rsidRPr="00ABEAA9">
        <w:rPr>
          <w:rFonts w:ascii="Aptos" w:eastAsia="Aptos" w:hAnsi="Aptos" w:cs="Aptos"/>
        </w:rPr>
        <w:t xml:space="preserve"> Panel de control y </w:t>
      </w:r>
      <w:proofErr w:type="spellStart"/>
      <w:r w:rsidRPr="00ABEAA9">
        <w:rPr>
          <w:rFonts w:ascii="Aptos" w:eastAsia="Aptos" w:hAnsi="Aptos" w:cs="Aptos"/>
        </w:rPr>
        <w:t>dashboard</w:t>
      </w:r>
      <w:proofErr w:type="spellEnd"/>
      <w:r w:rsidRPr="00ABEAA9">
        <w:rPr>
          <w:rFonts w:ascii="Aptos" w:eastAsia="Aptos" w:hAnsi="Aptos" w:cs="Aptos"/>
        </w:rPr>
        <w:t xml:space="preserve"> operativo utilizado para monitorizar el cumplimiento continuo en </w:t>
      </w:r>
      <w:r w:rsidRPr="00ABEAA9">
        <w:rPr>
          <w:rFonts w:ascii="Aptos" w:eastAsia="Aptos" w:hAnsi="Aptos" w:cs="Aptos"/>
        </w:rPr>
        <w:lastRenderedPageBreak/>
        <w:t>tiempo real, utilizando el mapeo específico "Spain ENS" para detectar desviaciones de configuración automáticamente.</w:t>
      </w:r>
    </w:p>
    <w:p w14:paraId="46726EF3" w14:textId="474FB45D" w:rsidR="643A7971" w:rsidRDefault="643A7971" w:rsidP="00ABEAA9">
      <w:pPr>
        <w:pStyle w:val="Ttol3"/>
        <w:spacing w:before="281" w:after="281"/>
      </w:pPr>
      <w:r w:rsidRPr="00ABEAA9">
        <w:rPr>
          <w:rFonts w:ascii="Aptos" w:eastAsia="Aptos" w:hAnsi="Aptos" w:cs="Aptos"/>
          <w:b/>
          <w:bCs/>
        </w:rPr>
        <w:t>5. Estándares de Seguridad en Aplicaciones e IA</w:t>
      </w:r>
    </w:p>
    <w:p w14:paraId="514F7CEC" w14:textId="6F60B849" w:rsidR="643A7971" w:rsidRDefault="643A7971" w:rsidP="00ABEAA9">
      <w:pPr>
        <w:spacing w:before="240" w:after="240"/>
      </w:pPr>
      <w:r w:rsidRPr="00ABEAA9">
        <w:rPr>
          <w:rFonts w:ascii="Aptos" w:eastAsia="Aptos" w:hAnsi="Aptos" w:cs="Aptos"/>
        </w:rPr>
        <w:t>Para proteger la capa de aplicación SaaS y los componentes críticos de IA Generativa frente a amenazas emergentes:</w:t>
      </w:r>
    </w:p>
    <w:p w14:paraId="0E4D2B5D" w14:textId="7984FF2F" w:rsidR="643A7971" w:rsidRDefault="643A7971" w:rsidP="00ABEAA9">
      <w:pPr>
        <w:pStyle w:val="Pargrafdel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>OWASP Top 10 (2021):</w:t>
      </w:r>
      <w:r w:rsidRPr="00ABEAA9">
        <w:rPr>
          <w:rFonts w:ascii="Aptos" w:eastAsia="Aptos" w:hAnsi="Aptos" w:cs="Aptos"/>
        </w:rPr>
        <w:t xml:space="preserve"> Estándar de facto para la mitigación de las vulnerabilidades web más críticas. Se utiliza para guiar las pruebas de seguridad (SAST/DAST) mitigando riesgos como Inyección SQL, Cross-Site Scripting (XSS) y Fallos de control de acceso e identificación.</w:t>
      </w:r>
    </w:p>
    <w:p w14:paraId="5174E713" w14:textId="3B93B15B" w:rsidR="643A7971" w:rsidRDefault="643A7971" w:rsidP="00ABEAA9">
      <w:pPr>
        <w:pStyle w:val="Pargrafdel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 xml:space="preserve">OWASP Top 10 </w:t>
      </w:r>
      <w:proofErr w:type="spellStart"/>
      <w:r w:rsidRPr="00ABEAA9">
        <w:rPr>
          <w:rFonts w:ascii="Aptos" w:eastAsia="Aptos" w:hAnsi="Aptos" w:cs="Aptos"/>
          <w:b/>
          <w:bCs/>
        </w:rPr>
        <w:t>for</w:t>
      </w:r>
      <w:proofErr w:type="spellEnd"/>
      <w:r w:rsidRPr="00ABEAA9">
        <w:rPr>
          <w:rFonts w:ascii="Aptos" w:eastAsia="Aptos" w:hAnsi="Aptos" w:cs="Aptos"/>
          <w:b/>
          <w:bCs/>
        </w:rPr>
        <w:t xml:space="preserve"> </w:t>
      </w:r>
      <w:proofErr w:type="spellStart"/>
      <w:r w:rsidRPr="00ABEAA9">
        <w:rPr>
          <w:rFonts w:ascii="Aptos" w:eastAsia="Aptos" w:hAnsi="Aptos" w:cs="Aptos"/>
          <w:b/>
          <w:bCs/>
        </w:rPr>
        <w:t>Large</w:t>
      </w:r>
      <w:proofErr w:type="spellEnd"/>
      <w:r w:rsidRPr="00ABEAA9">
        <w:rPr>
          <w:rFonts w:ascii="Aptos" w:eastAsia="Aptos" w:hAnsi="Aptos" w:cs="Aptos"/>
          <w:b/>
          <w:bCs/>
        </w:rPr>
        <w:t xml:space="preserve"> </w:t>
      </w:r>
      <w:proofErr w:type="spellStart"/>
      <w:r w:rsidRPr="00ABEAA9">
        <w:rPr>
          <w:rFonts w:ascii="Aptos" w:eastAsia="Aptos" w:hAnsi="Aptos" w:cs="Aptos"/>
          <w:b/>
          <w:bCs/>
        </w:rPr>
        <w:t>Language</w:t>
      </w:r>
      <w:proofErr w:type="spellEnd"/>
      <w:r w:rsidRPr="00ABEAA9">
        <w:rPr>
          <w:rFonts w:ascii="Aptos" w:eastAsia="Aptos" w:hAnsi="Aptos" w:cs="Aptos"/>
          <w:b/>
          <w:bCs/>
        </w:rPr>
        <w:t xml:space="preserve"> </w:t>
      </w:r>
      <w:proofErr w:type="spellStart"/>
      <w:r w:rsidRPr="00ABEAA9">
        <w:rPr>
          <w:rFonts w:ascii="Aptos" w:eastAsia="Aptos" w:hAnsi="Aptos" w:cs="Aptos"/>
          <w:b/>
          <w:bCs/>
        </w:rPr>
        <w:t>Models</w:t>
      </w:r>
      <w:proofErr w:type="spellEnd"/>
      <w:r w:rsidRPr="00ABEAA9">
        <w:rPr>
          <w:rFonts w:ascii="Aptos" w:eastAsia="Aptos" w:hAnsi="Aptos" w:cs="Aptos"/>
          <w:b/>
          <w:bCs/>
        </w:rPr>
        <w:t xml:space="preserve"> (LLM):</w:t>
      </w:r>
      <w:r w:rsidRPr="00ABEAA9">
        <w:rPr>
          <w:rFonts w:ascii="Aptos" w:eastAsia="Aptos" w:hAnsi="Aptos" w:cs="Aptos"/>
        </w:rPr>
        <w:t xml:space="preserve"> Referencia específica y crítica utilizada para proteger la capa de IA. Aborda riesgos únicos de los sistemas generativos como </w:t>
      </w:r>
      <w:proofErr w:type="spellStart"/>
      <w:r w:rsidRPr="00ABEAA9">
        <w:rPr>
          <w:rFonts w:ascii="Aptos" w:eastAsia="Aptos" w:hAnsi="Aptos" w:cs="Aptos"/>
          <w:i/>
          <w:iCs/>
        </w:rPr>
        <w:t>Prompt</w:t>
      </w:r>
      <w:proofErr w:type="spellEnd"/>
      <w:r w:rsidRPr="00ABEAA9">
        <w:rPr>
          <w:rFonts w:ascii="Aptos" w:eastAsia="Aptos" w:hAnsi="Aptos" w:cs="Aptos"/>
          <w:i/>
          <w:iCs/>
        </w:rPr>
        <w:t xml:space="preserve"> </w:t>
      </w:r>
      <w:proofErr w:type="spellStart"/>
      <w:r w:rsidRPr="00ABEAA9">
        <w:rPr>
          <w:rFonts w:ascii="Aptos" w:eastAsia="Aptos" w:hAnsi="Aptos" w:cs="Aptos"/>
          <w:i/>
          <w:iCs/>
        </w:rPr>
        <w:t>Injection</w:t>
      </w:r>
      <w:proofErr w:type="spellEnd"/>
      <w:r w:rsidRPr="00ABEAA9">
        <w:rPr>
          <w:rFonts w:ascii="Aptos" w:eastAsia="Aptos" w:hAnsi="Aptos" w:cs="Aptos"/>
        </w:rPr>
        <w:t xml:space="preserve"> (manipulación de instrucciones), </w:t>
      </w:r>
      <w:proofErr w:type="spellStart"/>
      <w:r w:rsidRPr="00ABEAA9">
        <w:rPr>
          <w:rFonts w:ascii="Aptos" w:eastAsia="Aptos" w:hAnsi="Aptos" w:cs="Aptos"/>
          <w:i/>
          <w:iCs/>
        </w:rPr>
        <w:t>Model</w:t>
      </w:r>
      <w:proofErr w:type="spellEnd"/>
      <w:r w:rsidRPr="00ABEAA9">
        <w:rPr>
          <w:rFonts w:ascii="Aptos" w:eastAsia="Aptos" w:hAnsi="Aptos" w:cs="Aptos"/>
          <w:i/>
          <w:iCs/>
        </w:rPr>
        <w:t xml:space="preserve"> </w:t>
      </w:r>
      <w:proofErr w:type="spellStart"/>
      <w:r w:rsidRPr="00ABEAA9">
        <w:rPr>
          <w:rFonts w:ascii="Aptos" w:eastAsia="Aptos" w:hAnsi="Aptos" w:cs="Aptos"/>
          <w:i/>
          <w:iCs/>
        </w:rPr>
        <w:t>Denial</w:t>
      </w:r>
      <w:proofErr w:type="spellEnd"/>
      <w:r w:rsidRPr="00ABEAA9">
        <w:rPr>
          <w:rFonts w:ascii="Aptos" w:eastAsia="Aptos" w:hAnsi="Aptos" w:cs="Aptos"/>
          <w:i/>
          <w:iCs/>
        </w:rPr>
        <w:t xml:space="preserve"> </w:t>
      </w:r>
      <w:proofErr w:type="spellStart"/>
      <w:r w:rsidRPr="00ABEAA9">
        <w:rPr>
          <w:rFonts w:ascii="Aptos" w:eastAsia="Aptos" w:hAnsi="Aptos" w:cs="Aptos"/>
          <w:i/>
          <w:iCs/>
        </w:rPr>
        <w:t>of</w:t>
      </w:r>
      <w:proofErr w:type="spellEnd"/>
      <w:r w:rsidRPr="00ABEAA9">
        <w:rPr>
          <w:rFonts w:ascii="Aptos" w:eastAsia="Aptos" w:hAnsi="Aptos" w:cs="Aptos"/>
          <w:i/>
          <w:iCs/>
        </w:rPr>
        <w:t xml:space="preserve"> </w:t>
      </w:r>
      <w:proofErr w:type="spellStart"/>
      <w:r w:rsidRPr="00ABEAA9">
        <w:rPr>
          <w:rFonts w:ascii="Aptos" w:eastAsia="Aptos" w:hAnsi="Aptos" w:cs="Aptos"/>
          <w:i/>
          <w:iCs/>
        </w:rPr>
        <w:t>Service</w:t>
      </w:r>
      <w:proofErr w:type="spellEnd"/>
      <w:r w:rsidRPr="00ABEAA9">
        <w:rPr>
          <w:rFonts w:ascii="Aptos" w:eastAsia="Aptos" w:hAnsi="Aptos" w:cs="Aptos"/>
        </w:rPr>
        <w:t xml:space="preserve"> (consumo exhaustivo de recursos), </w:t>
      </w:r>
      <w:r w:rsidRPr="00ABEAA9">
        <w:rPr>
          <w:rFonts w:ascii="Aptos" w:eastAsia="Aptos" w:hAnsi="Aptos" w:cs="Aptos"/>
          <w:i/>
          <w:iCs/>
        </w:rPr>
        <w:t xml:space="preserve">Sensitive </w:t>
      </w:r>
      <w:proofErr w:type="spellStart"/>
      <w:r w:rsidRPr="00ABEAA9">
        <w:rPr>
          <w:rFonts w:ascii="Aptos" w:eastAsia="Aptos" w:hAnsi="Aptos" w:cs="Aptos"/>
          <w:i/>
          <w:iCs/>
        </w:rPr>
        <w:t>Information</w:t>
      </w:r>
      <w:proofErr w:type="spellEnd"/>
      <w:r w:rsidRPr="00ABEAA9">
        <w:rPr>
          <w:rFonts w:ascii="Aptos" w:eastAsia="Aptos" w:hAnsi="Aptos" w:cs="Aptos"/>
          <w:i/>
          <w:iCs/>
        </w:rPr>
        <w:t xml:space="preserve"> </w:t>
      </w:r>
      <w:proofErr w:type="spellStart"/>
      <w:r w:rsidRPr="00ABEAA9">
        <w:rPr>
          <w:rFonts w:ascii="Aptos" w:eastAsia="Aptos" w:hAnsi="Aptos" w:cs="Aptos"/>
          <w:i/>
          <w:iCs/>
        </w:rPr>
        <w:t>Disclosure</w:t>
      </w:r>
      <w:proofErr w:type="spellEnd"/>
      <w:r w:rsidRPr="00ABEAA9">
        <w:rPr>
          <w:rFonts w:ascii="Aptos" w:eastAsia="Aptos" w:hAnsi="Aptos" w:cs="Aptos"/>
        </w:rPr>
        <w:t xml:space="preserve"> y vulnerabilidades en la cadena de suministro del modelo.</w:t>
      </w:r>
    </w:p>
    <w:p w14:paraId="25FC8CC5" w14:textId="59023639" w:rsidR="643A7971" w:rsidRDefault="643A7971" w:rsidP="00ABEAA9">
      <w:pPr>
        <w:pStyle w:val="Pargrafdel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  <w:b/>
          <w:bCs/>
        </w:rPr>
        <w:t xml:space="preserve">NIST AI </w:t>
      </w:r>
      <w:proofErr w:type="spellStart"/>
      <w:r w:rsidRPr="00ABEAA9">
        <w:rPr>
          <w:rFonts w:ascii="Aptos" w:eastAsia="Aptos" w:hAnsi="Aptos" w:cs="Aptos"/>
          <w:b/>
          <w:bCs/>
        </w:rPr>
        <w:t>Risk</w:t>
      </w:r>
      <w:proofErr w:type="spellEnd"/>
      <w:r w:rsidRPr="00ABEAA9">
        <w:rPr>
          <w:rFonts w:ascii="Aptos" w:eastAsia="Aptos" w:hAnsi="Aptos" w:cs="Aptos"/>
          <w:b/>
          <w:bCs/>
        </w:rPr>
        <w:t xml:space="preserve"> Management Framework (AI RMF 1.0):</w:t>
      </w:r>
      <w:r w:rsidRPr="00ABEAA9">
        <w:rPr>
          <w:rFonts w:ascii="Aptos" w:eastAsia="Aptos" w:hAnsi="Aptos" w:cs="Aptos"/>
        </w:rPr>
        <w:t xml:space="preserve"> Marco de referencia integral para la gestión de los riesgos específicos de los algoritmos de inteligencia artificial, abarcando las funciones de Gobernanza, Mapeo, Medición y Gestión de la fiabilidad y seguridad de los modelos desplegados.</w:t>
      </w:r>
    </w:p>
    <w:p w14:paraId="7BA2C718" w14:textId="54BE5B79" w:rsidR="643A7971" w:rsidRDefault="643A7971" w:rsidP="00ABEAA9">
      <w:pPr>
        <w:pStyle w:val="Ttol3"/>
        <w:spacing w:before="281" w:after="281"/>
      </w:pPr>
      <w:r w:rsidRPr="00ABEAA9">
        <w:rPr>
          <w:rFonts w:ascii="Aptos" w:eastAsia="Aptos" w:hAnsi="Aptos" w:cs="Aptos"/>
          <w:b/>
          <w:bCs/>
        </w:rPr>
        <w:t>6. Procedimiento de Actualización y Revisión</w:t>
      </w:r>
    </w:p>
    <w:p w14:paraId="52FFD675" w14:textId="6ACAD819" w:rsidR="643A7971" w:rsidRDefault="643A7971" w:rsidP="00ABEAA9">
      <w:pPr>
        <w:pStyle w:val="Ttol4"/>
        <w:spacing w:before="319" w:after="319"/>
      </w:pPr>
      <w:r w:rsidRPr="00ABEAA9">
        <w:rPr>
          <w:rFonts w:ascii="Aptos" w:eastAsia="Aptos" w:hAnsi="Aptos" w:cs="Aptos"/>
          <w:b/>
          <w:bCs/>
        </w:rPr>
        <w:t>6.1. Frecuencia de Revisión</w:t>
      </w:r>
    </w:p>
    <w:p w14:paraId="2C2C4E08" w14:textId="708F8E27" w:rsidR="643A7971" w:rsidRDefault="643A7971" w:rsidP="00ABEAA9">
      <w:pPr>
        <w:spacing w:before="240" w:after="240"/>
      </w:pPr>
      <w:r w:rsidRPr="00ABEAA9">
        <w:rPr>
          <w:rFonts w:ascii="Aptos" w:eastAsia="Aptos" w:hAnsi="Aptos" w:cs="Aptos"/>
        </w:rPr>
        <w:t>Este inventario de guías y el estado de cumplimiento técnico respecto a las mismas se revisará y actualizará:</w:t>
      </w:r>
    </w:p>
    <w:p w14:paraId="4F34D9B3" w14:textId="42C94810" w:rsidR="643A7971" w:rsidRDefault="643A7971" w:rsidP="00ABEAA9">
      <w:pPr>
        <w:pStyle w:val="Pargrafdel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</w:rPr>
        <w:t xml:space="preserve">Con una periodicidad mínima </w:t>
      </w:r>
      <w:r w:rsidRPr="00ABEAA9">
        <w:rPr>
          <w:rFonts w:ascii="Aptos" w:eastAsia="Aptos" w:hAnsi="Aptos" w:cs="Aptos"/>
          <w:b/>
          <w:bCs/>
        </w:rPr>
        <w:t>ANUAL</w:t>
      </w:r>
      <w:r w:rsidRPr="00ABEAA9">
        <w:rPr>
          <w:rFonts w:ascii="Aptos" w:eastAsia="Aptos" w:hAnsi="Aptos" w:cs="Aptos"/>
        </w:rPr>
        <w:t xml:space="preserve"> como parte del ciclo de mejora continua del Sistema de Gestión de Seguridad de la Información (SGSI).</w:t>
      </w:r>
    </w:p>
    <w:p w14:paraId="5744C166" w14:textId="651E9CA1" w:rsidR="643A7971" w:rsidRDefault="643A7971" w:rsidP="00ABEAA9">
      <w:pPr>
        <w:pStyle w:val="Pargrafdel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</w:rPr>
        <w:t xml:space="preserve">Tras la publicación de </w:t>
      </w:r>
      <w:r w:rsidRPr="00ABEAA9">
        <w:rPr>
          <w:rFonts w:ascii="Aptos" w:eastAsia="Aptos" w:hAnsi="Aptos" w:cs="Aptos"/>
          <w:b/>
          <w:bCs/>
        </w:rPr>
        <w:t>nuevas versiones críticas</w:t>
      </w:r>
      <w:r w:rsidRPr="00ABEAA9">
        <w:rPr>
          <w:rFonts w:ascii="Aptos" w:eastAsia="Aptos" w:hAnsi="Aptos" w:cs="Aptos"/>
        </w:rPr>
        <w:t xml:space="preserve"> de las guías CCN-STIC, actualizaciones mayores del MCSB de Microsoft o cambios legislativos relevantes.</w:t>
      </w:r>
    </w:p>
    <w:p w14:paraId="0BF55362" w14:textId="11A783B0" w:rsidR="643A7971" w:rsidRDefault="643A7971" w:rsidP="00ABEAA9">
      <w:pPr>
        <w:pStyle w:val="Pargrafdel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ABEAA9">
        <w:rPr>
          <w:rFonts w:ascii="Aptos" w:eastAsia="Aptos" w:hAnsi="Aptos" w:cs="Aptos"/>
        </w:rPr>
        <w:t>Ante cambios significativos en la arquitectura del sistema o tras incidentes de seguridad que revelen deficiencias en los estándares aplicados.</w:t>
      </w:r>
    </w:p>
    <w:p w14:paraId="2D897C2F" w14:textId="3B2F7AE9" w:rsidR="643A7971" w:rsidRDefault="643A7971" w:rsidP="00ABEAA9">
      <w:pPr>
        <w:pStyle w:val="Ttol4"/>
        <w:spacing w:before="319" w:after="319"/>
      </w:pPr>
      <w:r w:rsidRPr="00ABEAA9">
        <w:rPr>
          <w:rFonts w:ascii="Aptos" w:eastAsia="Aptos" w:hAnsi="Aptos" w:cs="Aptos"/>
          <w:b/>
          <w:bCs/>
        </w:rPr>
        <w:t>6.2. Mecanismo de Vigilancia Tecnológica</w:t>
      </w:r>
    </w:p>
    <w:p w14:paraId="1268599A" w14:textId="5A1D3FD2" w:rsidR="643A7971" w:rsidRDefault="643A7971" w:rsidP="00ABEAA9">
      <w:pPr>
        <w:spacing w:before="240" w:after="240"/>
      </w:pPr>
      <w:r w:rsidRPr="00ABEAA9">
        <w:rPr>
          <w:rFonts w:ascii="Aptos" w:eastAsia="Aptos" w:hAnsi="Aptos" w:cs="Aptos"/>
        </w:rPr>
        <w:t>El Responsable de Seguridad (o el rol de CISO delegado) es el encargado de mantener un proceso activo de vigilancia, suscribiéndose a los boletines de alerta del CCN-</w:t>
      </w:r>
      <w:r w:rsidRPr="00ABEAA9">
        <w:rPr>
          <w:rFonts w:ascii="Aptos" w:eastAsia="Aptos" w:hAnsi="Aptos" w:cs="Aptos"/>
        </w:rPr>
        <w:lastRenderedPageBreak/>
        <w:t>CERT, US-CERT y del Microsoft Security Response Center. El objetivo es identificar proactivamente cambios normativos, nuevas amenazas o vulnerabilidades de día cero que requieran la adopción inmediata de nuevas guías técnicas o medidas compensatorias.</w:t>
      </w:r>
    </w:p>
    <w:p w14:paraId="0D3C63BC" w14:textId="3136B8C8" w:rsidR="643A7971" w:rsidRDefault="643A7971" w:rsidP="00ABEAA9">
      <w:pPr>
        <w:spacing w:before="240" w:after="240"/>
      </w:pPr>
      <w:r w:rsidRPr="00ABEAA9">
        <w:rPr>
          <w:rFonts w:ascii="Aptos" w:eastAsia="Aptos" w:hAnsi="Aptos" w:cs="Aptos"/>
          <w:i/>
          <w:iCs/>
        </w:rPr>
        <w:t>Este documento forma parte de la evidencia documental del cumplimiento del ENS.</w:t>
      </w:r>
    </w:p>
    <w:p w14:paraId="15EA50C6" w14:textId="30F9F655" w:rsidR="00ABEAA9" w:rsidRDefault="00ABEAA9"/>
    <w:sectPr w:rsidR="00ABEA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9F35E"/>
    <w:multiLevelType w:val="hybridMultilevel"/>
    <w:tmpl w:val="BE08D0DC"/>
    <w:lvl w:ilvl="0" w:tplc="3E023A1C">
      <w:start w:val="1"/>
      <w:numFmt w:val="decimal"/>
      <w:lvlText w:val="%1."/>
      <w:lvlJc w:val="left"/>
      <w:pPr>
        <w:ind w:left="720" w:hanging="360"/>
      </w:pPr>
    </w:lvl>
    <w:lvl w:ilvl="1" w:tplc="BD503E12">
      <w:start w:val="1"/>
      <w:numFmt w:val="lowerLetter"/>
      <w:lvlText w:val="%2."/>
      <w:lvlJc w:val="left"/>
      <w:pPr>
        <w:ind w:left="1440" w:hanging="360"/>
      </w:pPr>
    </w:lvl>
    <w:lvl w:ilvl="2" w:tplc="BCDA87D4">
      <w:start w:val="1"/>
      <w:numFmt w:val="lowerRoman"/>
      <w:lvlText w:val="%3."/>
      <w:lvlJc w:val="right"/>
      <w:pPr>
        <w:ind w:left="2160" w:hanging="180"/>
      </w:pPr>
    </w:lvl>
    <w:lvl w:ilvl="3" w:tplc="4096275A">
      <w:start w:val="1"/>
      <w:numFmt w:val="decimal"/>
      <w:lvlText w:val="%4."/>
      <w:lvlJc w:val="left"/>
      <w:pPr>
        <w:ind w:left="2880" w:hanging="360"/>
      </w:pPr>
    </w:lvl>
    <w:lvl w:ilvl="4" w:tplc="2362C69C">
      <w:start w:val="1"/>
      <w:numFmt w:val="lowerLetter"/>
      <w:lvlText w:val="%5."/>
      <w:lvlJc w:val="left"/>
      <w:pPr>
        <w:ind w:left="3600" w:hanging="360"/>
      </w:pPr>
    </w:lvl>
    <w:lvl w:ilvl="5" w:tplc="C658D290">
      <w:start w:val="1"/>
      <w:numFmt w:val="lowerRoman"/>
      <w:lvlText w:val="%6."/>
      <w:lvlJc w:val="right"/>
      <w:pPr>
        <w:ind w:left="4320" w:hanging="180"/>
      </w:pPr>
    </w:lvl>
    <w:lvl w:ilvl="6" w:tplc="56AA3D0E">
      <w:start w:val="1"/>
      <w:numFmt w:val="decimal"/>
      <w:lvlText w:val="%7."/>
      <w:lvlJc w:val="left"/>
      <w:pPr>
        <w:ind w:left="5040" w:hanging="360"/>
      </w:pPr>
    </w:lvl>
    <w:lvl w:ilvl="7" w:tplc="9FC4CFD2">
      <w:start w:val="1"/>
      <w:numFmt w:val="lowerLetter"/>
      <w:lvlText w:val="%8."/>
      <w:lvlJc w:val="left"/>
      <w:pPr>
        <w:ind w:left="5760" w:hanging="360"/>
      </w:pPr>
    </w:lvl>
    <w:lvl w:ilvl="8" w:tplc="26F8695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8275B"/>
    <w:multiLevelType w:val="hybridMultilevel"/>
    <w:tmpl w:val="841CCD2C"/>
    <w:lvl w:ilvl="0" w:tplc="B114B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C3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ED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49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842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6C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AA7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EF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98B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83841"/>
    <w:multiLevelType w:val="hybridMultilevel"/>
    <w:tmpl w:val="0CEE733A"/>
    <w:lvl w:ilvl="0" w:tplc="E814E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AAA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289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E8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B0B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40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03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E2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641F6"/>
    <w:multiLevelType w:val="hybridMultilevel"/>
    <w:tmpl w:val="4E5C6D3E"/>
    <w:lvl w:ilvl="0" w:tplc="3C562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BE9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1A8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9CF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29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EA9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07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4D5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4B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BD54F"/>
    <w:multiLevelType w:val="hybridMultilevel"/>
    <w:tmpl w:val="B4D00634"/>
    <w:lvl w:ilvl="0" w:tplc="48A8D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D4F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04C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21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1E5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5EB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FAF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A81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C00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65514"/>
    <w:multiLevelType w:val="hybridMultilevel"/>
    <w:tmpl w:val="4FE6B43E"/>
    <w:lvl w:ilvl="0" w:tplc="2B8E2D70">
      <w:start w:val="1"/>
      <w:numFmt w:val="decimal"/>
      <w:lvlText w:val="%1."/>
      <w:lvlJc w:val="left"/>
      <w:pPr>
        <w:ind w:left="720" w:hanging="360"/>
      </w:pPr>
    </w:lvl>
    <w:lvl w:ilvl="1" w:tplc="8B887976">
      <w:start w:val="1"/>
      <w:numFmt w:val="lowerLetter"/>
      <w:lvlText w:val="%2."/>
      <w:lvlJc w:val="left"/>
      <w:pPr>
        <w:ind w:left="1440" w:hanging="360"/>
      </w:pPr>
    </w:lvl>
    <w:lvl w:ilvl="2" w:tplc="09869FFE">
      <w:start w:val="1"/>
      <w:numFmt w:val="lowerRoman"/>
      <w:lvlText w:val="%3."/>
      <w:lvlJc w:val="right"/>
      <w:pPr>
        <w:ind w:left="2160" w:hanging="180"/>
      </w:pPr>
    </w:lvl>
    <w:lvl w:ilvl="3" w:tplc="72103B0A">
      <w:start w:val="1"/>
      <w:numFmt w:val="decimal"/>
      <w:lvlText w:val="%4."/>
      <w:lvlJc w:val="left"/>
      <w:pPr>
        <w:ind w:left="2880" w:hanging="360"/>
      </w:pPr>
    </w:lvl>
    <w:lvl w:ilvl="4" w:tplc="77A099A2">
      <w:start w:val="1"/>
      <w:numFmt w:val="lowerLetter"/>
      <w:lvlText w:val="%5."/>
      <w:lvlJc w:val="left"/>
      <w:pPr>
        <w:ind w:left="3600" w:hanging="360"/>
      </w:pPr>
    </w:lvl>
    <w:lvl w:ilvl="5" w:tplc="85AEE4E6">
      <w:start w:val="1"/>
      <w:numFmt w:val="lowerRoman"/>
      <w:lvlText w:val="%6."/>
      <w:lvlJc w:val="right"/>
      <w:pPr>
        <w:ind w:left="4320" w:hanging="180"/>
      </w:pPr>
    </w:lvl>
    <w:lvl w:ilvl="6" w:tplc="E2CC5362">
      <w:start w:val="1"/>
      <w:numFmt w:val="decimal"/>
      <w:lvlText w:val="%7."/>
      <w:lvlJc w:val="left"/>
      <w:pPr>
        <w:ind w:left="5040" w:hanging="360"/>
      </w:pPr>
    </w:lvl>
    <w:lvl w:ilvl="7" w:tplc="6FC69DD8">
      <w:start w:val="1"/>
      <w:numFmt w:val="lowerLetter"/>
      <w:lvlText w:val="%8."/>
      <w:lvlJc w:val="left"/>
      <w:pPr>
        <w:ind w:left="5760" w:hanging="360"/>
      </w:pPr>
    </w:lvl>
    <w:lvl w:ilvl="8" w:tplc="F66E85D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45D79"/>
    <w:multiLevelType w:val="hybridMultilevel"/>
    <w:tmpl w:val="49361BC6"/>
    <w:lvl w:ilvl="0" w:tplc="C4B61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04F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86E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0E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A9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E3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CA2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02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0A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C60E7"/>
    <w:multiLevelType w:val="hybridMultilevel"/>
    <w:tmpl w:val="6DF855E8"/>
    <w:lvl w:ilvl="0" w:tplc="F9224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63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8AC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A8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0A8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389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21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43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646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1F004"/>
    <w:multiLevelType w:val="hybridMultilevel"/>
    <w:tmpl w:val="0E96F61E"/>
    <w:lvl w:ilvl="0" w:tplc="9FB43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463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2D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A9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0D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386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07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0B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09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CD0CB"/>
    <w:multiLevelType w:val="hybridMultilevel"/>
    <w:tmpl w:val="2AEE5B44"/>
    <w:lvl w:ilvl="0" w:tplc="C75EE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8F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D0E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82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961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06E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D82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09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0A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D6900"/>
    <w:multiLevelType w:val="hybridMultilevel"/>
    <w:tmpl w:val="8932C974"/>
    <w:lvl w:ilvl="0" w:tplc="DA324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7CA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D03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E8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A4A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48B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1E5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AA5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809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08847"/>
    <w:multiLevelType w:val="hybridMultilevel"/>
    <w:tmpl w:val="10A49F92"/>
    <w:lvl w:ilvl="0" w:tplc="43765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AC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847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327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F6E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28F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70B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CB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800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974876">
    <w:abstractNumId w:val="5"/>
  </w:num>
  <w:num w:numId="2" w16cid:durableId="932664779">
    <w:abstractNumId w:val="10"/>
  </w:num>
  <w:num w:numId="3" w16cid:durableId="658584076">
    <w:abstractNumId w:val="7"/>
  </w:num>
  <w:num w:numId="4" w16cid:durableId="1173954248">
    <w:abstractNumId w:val="6"/>
  </w:num>
  <w:num w:numId="5" w16cid:durableId="418214263">
    <w:abstractNumId w:val="2"/>
  </w:num>
  <w:num w:numId="6" w16cid:durableId="2031569915">
    <w:abstractNumId w:val="4"/>
  </w:num>
  <w:num w:numId="7" w16cid:durableId="715203964">
    <w:abstractNumId w:val="0"/>
  </w:num>
  <w:num w:numId="8" w16cid:durableId="322008977">
    <w:abstractNumId w:val="3"/>
  </w:num>
  <w:num w:numId="9" w16cid:durableId="2080444189">
    <w:abstractNumId w:val="11"/>
  </w:num>
  <w:num w:numId="10" w16cid:durableId="1080906238">
    <w:abstractNumId w:val="8"/>
  </w:num>
  <w:num w:numId="11" w16cid:durableId="512648095">
    <w:abstractNumId w:val="9"/>
  </w:num>
  <w:num w:numId="12" w16cid:durableId="1089305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B4B4D9"/>
    <w:rsid w:val="00025A22"/>
    <w:rsid w:val="006E6525"/>
    <w:rsid w:val="00ABEAA9"/>
    <w:rsid w:val="00FB3BB5"/>
    <w:rsid w:val="31C75F27"/>
    <w:rsid w:val="3EB4B4D9"/>
    <w:rsid w:val="643A7971"/>
    <w:rsid w:val="7F9B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4B4D9"/>
  <w15:chartTrackingRefBased/>
  <w15:docId w15:val="{402296A7-AF3A-4EA0-9497-7AABDDFA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3Car">
    <w:name w:val="Títol 3 Car"/>
    <w:basedOn w:val="Lletraperdefectedelpargraf"/>
    <w:link w:val="Ttol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Pargrafdel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ol4Car">
    <w:name w:val="Títol 4 Car"/>
    <w:basedOn w:val="Lletraperdefectedelpargraf"/>
    <w:link w:val="Ttol4"/>
    <w:uiPriority w:val="9"/>
    <w:rPr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F53D61-C2E7-4183-BF7D-7218C7AA6F1D}"/>
</file>

<file path=customXml/itemProps2.xml><?xml version="1.0" encoding="utf-8"?>
<ds:datastoreItem xmlns:ds="http://schemas.openxmlformats.org/officeDocument/2006/customXml" ds:itemID="{3C718924-B2D7-46D3-B073-D4F130C4B7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458A77-652F-49FB-978D-15BCDB358E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4</Pages>
  <Words>928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Muixi</dc:creator>
  <cp:keywords/>
  <dc:description/>
  <cp:lastModifiedBy>Toni Ripoll</cp:lastModifiedBy>
  <cp:revision>4</cp:revision>
  <dcterms:created xsi:type="dcterms:W3CDTF">2025-11-28T23:10:00Z</dcterms:created>
  <dcterms:modified xsi:type="dcterms:W3CDTF">2025-11-30T11:22:00Z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docLang">
    <vt:lpwstr>es</vt:lpwstr>
  </property>
</Properties>
</file>