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3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19"/>
        <w:gridCol w:w="7729"/>
      </w:tblGrid>
      <w:tr>
        <w:trPr>
          <w:trHeight w:val="362" w:hRule="atLeast"/>
        </w:trPr>
        <w:tc>
          <w:tcPr>
            <w:tcW w:type="dxa" w:w="10348"/>
            <w:gridSpan w:val="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1FDF9" w:color="auto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sz w:val="22"/>
                <w:szCs w:val="22"/>
                <w:lang w:val="es-ES"/>
              </w:rPr>
              <w:t xml:space="preserve">MISIÓN</w:t>
            </w:r>
          </w:p>
        </w:tc>
      </w:tr>
      <w:tr>
        <w:trPr>
          <w:trHeight w:val="362" w:hRule="atLeast"/>
        </w:trPr>
        <w:tc>
          <w:tcPr>
            <w:tcW w:type="dxa" w:w="10348"/>
            <w:gridSpan w:val="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uto" w:color="auto" w:val="clear"/>
            <w:vAlign w:val="center"/>
          </w:tcPr>
          <w:p>
            <w:pPr>
              <w:spacing w:before="60" w:after="6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sz w:val="22"/>
                <w:szCs w:val="22"/>
                <w:lang w:val="es-ES"/>
              </w:rPr>
              <w:t xml:space="preserve">Impulsar el crecimiento de la empresa mediante la captación de nuevos clientes, la fidelización de la cartera existente y el cierre de acuerdos comerciales. Representar a optimTech en el mercado, identificando oportunidades de negocio y contribuyendo al cumplimiento de los objetivos de facturación y posicionamiento.</w:t>
            </w:r>
          </w:p>
        </w:tc>
      </w:tr>
      <w:tr>
        <w:trPr>
          <w:trHeight w:val="362" w:hRule="atLeast"/>
        </w:trPr>
        <w:tc>
          <w:tcPr>
            <w:tcW w:type="dxa" w:w="26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1FDF9" w:color="auto" w:val="clear"/>
            <w:vAlign w:val="center"/>
          </w:tcPr>
          <w:p>
            <w:pPr>
              <w:spacing w:before="60" w:after="6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sz w:val="22"/>
                <w:szCs w:val="22"/>
                <w:lang w:val="es-ES"/>
              </w:rPr>
              <w:t xml:space="preserve">Dependencia</w:t>
            </w:r>
          </w:p>
        </w:tc>
        <w:tc>
          <w:tcPr>
            <w:tcW w:type="dxa" w:w="772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before="60" w:after="6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sz w:val="22"/>
                <w:szCs w:val="22"/>
                <w:lang w:val="es-ES"/>
              </w:rPr>
              <w:t xml:space="preserve">Director General (CEO)</w:t>
            </w:r>
          </w:p>
        </w:tc>
      </w:tr>
      <w:tr>
        <w:trPr>
          <w:trHeight w:val="362" w:hRule="atLeast"/>
        </w:trPr>
        <w:tc>
          <w:tcPr>
            <w:tcW w:type="dxa" w:w="26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1FDF9" w:color="auto" w:val="clear"/>
            <w:vAlign w:val="center"/>
          </w:tcPr>
          <w:p>
            <w:pPr>
              <w:spacing w:before="60" w:after="6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sz w:val="22"/>
                <w:szCs w:val="22"/>
                <w:lang w:val="es-ES"/>
              </w:rPr>
              <w:t xml:space="preserve">Autoridad</w:t>
            </w:r>
          </w:p>
        </w:tc>
        <w:tc>
          <w:tcPr>
            <w:tcW w:type="dxa" w:w="772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before="60" w:after="6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sz w:val="22"/>
                <w:szCs w:val="22"/>
                <w:lang w:val="es-ES"/>
              </w:rPr>
              <w:t xml:space="preserve">N/A (puesto individual contributor)</w:t>
            </w:r>
          </w:p>
        </w:tc>
      </w:tr>
      <w:tr>
        <w:trPr>
          <w:trHeight w:val="362" w:hRule="atLeast"/>
        </w:trPr>
        <w:tc>
          <w:tcPr>
            <w:tcW w:type="dxa" w:w="10348"/>
            <w:gridSpan w:val="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1FDF9" w:color="auto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sz w:val="22"/>
                <w:szCs w:val="22"/>
                <w:lang w:val="es-ES"/>
              </w:rPr>
              <w:t xml:space="preserve">FUNCIONES Y RESPONSABILIDADES</w:t>
            </w:r>
          </w:p>
        </w:tc>
      </w:tr>
      <w:tr>
        <w:trPr>
          <w:trHeight w:val="362" w:hRule="atLeast"/>
        </w:trPr>
        <w:tc>
          <w:tcPr>
            <w:tcW w:type="dxa" w:w="10348"/>
            <w:gridSpan w:val="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uto" w:color="auto" w:val="clear"/>
            <w:vAlign w:val="center"/>
          </w:tcPr>
          <w:p>
            <w:pPr>
              <w:spacing w:before="60" w:after="6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sz w:val="22"/>
                <w:szCs w:val="22"/>
                <w:lang w:val="es-ES"/>
              </w:rPr>
              <w:t xml:space="preserve">Gestión Comercial</w:t>
            </w:r>
          </w:p>
        </w:tc>
      </w:tr>
      <w:tr>
        <w:trPr>
          <w:trHeight w:val="362" w:hRule="atLeast"/>
        </w:trPr>
        <w:tc>
          <w:tcPr>
            <w:tcW w:type="dxa" w:w="10348"/>
            <w:gridSpan w:val="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uto" w:color="auto" w:val="clear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sz w:val="22"/>
                <w:szCs w:val="22"/>
                <w:lang w:val="es-ES"/>
              </w:rPr>
              <w:t xml:space="preserve">Prospectar y cualificar leads en el mercado objetivo (sector tecnológico, SaaS, consultoría).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sz w:val="22"/>
                <w:szCs w:val="22"/>
                <w:lang w:val="es-ES"/>
              </w:rPr>
              <w:t xml:space="preserve">Presentar los servicios y soluciones de optimTech a clientes potenciales.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sz w:val="22"/>
                <w:szCs w:val="22"/>
                <w:lang w:val="es-ES"/>
              </w:rPr>
              <w:t xml:space="preserve">Elaborar y negociar propuestas comerciales y ofertas económicas.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sz w:val="22"/>
                <w:szCs w:val="22"/>
                <w:lang w:val="es-ES"/>
              </w:rPr>
              <w:t xml:space="preserve">Gestionar el ciclo completo de venta desde la identificación de la oportunidad hasta el cierre.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sz w:val="22"/>
                <w:szCs w:val="22"/>
                <w:lang w:val="es-ES"/>
              </w:rPr>
              <w:t xml:space="preserve">Mantener actualizado el CRM con la información de clientes y oportunidades.</w:t>
            </w:r>
          </w:p>
        </w:tc>
      </w:tr>
      <w:tr>
        <w:trPr>
          <w:trHeight w:val="362" w:hRule="atLeast"/>
        </w:trPr>
        <w:tc>
          <w:tcPr>
            <w:tcW w:type="dxa" w:w="10348"/>
            <w:gridSpan w:val="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uto" w:color="auto" w:val="clear"/>
            <w:vAlign w:val="center"/>
          </w:tcPr>
          <w:p>
            <w:pPr>
              <w:spacing w:before="60" w:after="6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sz w:val="22"/>
                <w:szCs w:val="22"/>
                <w:lang w:val="es-ES"/>
              </w:rPr>
              <w:t xml:space="preserve">Relación con Clientes</w:t>
            </w:r>
          </w:p>
        </w:tc>
      </w:tr>
      <w:tr>
        <w:trPr>
          <w:trHeight w:val="362" w:hRule="atLeast"/>
        </w:trPr>
        <w:tc>
          <w:tcPr>
            <w:tcW w:type="dxa" w:w="10348"/>
            <w:gridSpan w:val="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uto" w:color="auto" w:val="clear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sz w:val="22"/>
                <w:szCs w:val="22"/>
                <w:lang w:val="es-ES"/>
              </w:rPr>
              <w:t xml:space="preserve">Construir y mantener relaciones sólidas con clientes actuales y potenciales.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sz w:val="22"/>
                <w:szCs w:val="22"/>
                <w:lang w:val="es-ES"/>
              </w:rPr>
              <w:t xml:space="preserve">Identificar necesidades y oportunidades de cross-selling y up-selling.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sz w:val="22"/>
                <w:szCs w:val="22"/>
                <w:lang w:val="es-ES"/>
              </w:rPr>
              <w:t xml:space="preserve">Actuar como punto de contacto principal para cuestiones comerciales.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sz w:val="22"/>
                <w:szCs w:val="22"/>
                <w:lang w:val="es-ES"/>
              </w:rPr>
              <w:t xml:space="preserve">Gestionar reclamaciones o incidencias comerciales en coordinación con el equipo técnico.</w:t>
            </w:r>
          </w:p>
        </w:tc>
      </w:tr>
      <w:tr>
        <w:trPr>
          <w:trHeight w:val="362" w:hRule="atLeast"/>
        </w:trPr>
        <w:tc>
          <w:tcPr>
            <w:tcW w:type="dxa" w:w="10348"/>
            <w:gridSpan w:val="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uto" w:color="auto" w:val="clear"/>
            <w:vAlign w:val="center"/>
          </w:tcPr>
          <w:p>
            <w:pPr>
              <w:spacing w:before="60" w:after="6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sz w:val="22"/>
                <w:szCs w:val="22"/>
                <w:lang w:val="es-ES"/>
              </w:rPr>
              <w:t xml:space="preserve">Estrategia y Análisis</w:t>
            </w:r>
          </w:p>
        </w:tc>
      </w:tr>
      <w:tr>
        <w:trPr>
          <w:trHeight w:val="362" w:hRule="atLeast"/>
        </w:trPr>
        <w:tc>
          <w:tcPr>
            <w:tcW w:type="dxa" w:w="10348"/>
            <w:gridSpan w:val="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uto" w:color="auto" w:val="clear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sz w:val="22"/>
                <w:szCs w:val="22"/>
                <w:lang w:val="es-ES"/>
              </w:rPr>
              <w:t xml:space="preserve">Colaborar con la dirección en la definición de la estrategia comercial y los objetivos de venta.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sz w:val="22"/>
                <w:szCs w:val="22"/>
                <w:lang w:val="es-ES"/>
              </w:rPr>
              <w:t xml:space="preserve">Analizar tendencias de mercado, competencia y pricing.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sz w:val="22"/>
                <w:szCs w:val="22"/>
                <w:lang w:val="es-ES"/>
              </w:rPr>
              <w:t xml:space="preserve">Elaborar informes periódicos de actividad comercial y pipeline.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sz w:val="22"/>
                <w:szCs w:val="22"/>
                <w:lang w:val="es-ES"/>
              </w:rPr>
              <w:t xml:space="preserve">Proponer acciones de mejora basadas en métricas y resultados.</w:t>
            </w:r>
          </w:p>
        </w:tc>
      </w:tr>
      <w:tr>
        <w:trPr>
          <w:trHeight w:val="362" w:hRule="atLeast"/>
        </w:trPr>
        <w:tc>
          <w:tcPr>
            <w:tcW w:type="dxa" w:w="10348"/>
            <w:gridSpan w:val="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uto" w:color="auto" w:val="clear"/>
            <w:vAlign w:val="center"/>
          </w:tcPr>
          <w:p>
            <w:pPr>
              <w:spacing w:before="60" w:after="6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sz w:val="22"/>
                <w:szCs w:val="22"/>
                <w:lang w:val="es-ES"/>
              </w:rPr>
              <w:t xml:space="preserve">Cumplimiento y Seguridad</w:t>
            </w:r>
          </w:p>
        </w:tc>
      </w:tr>
      <w:tr>
        <w:trPr>
          <w:trHeight w:val="362" w:hRule="atLeast"/>
        </w:trPr>
        <w:tc>
          <w:tcPr>
            <w:tcW w:type="dxa" w:w="10348"/>
            <w:gridSpan w:val="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uto" w:color="auto" w:val="clear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sz w:val="22"/>
                <w:szCs w:val="22"/>
                <w:lang w:val="es-ES"/>
              </w:rPr>
              <w:t xml:space="preserve">Cumplir con las políticas de seguridad de la información (ENS) en toda la actividad comercial.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sz w:val="22"/>
                <w:szCs w:val="22"/>
                <w:lang w:val="es-ES"/>
              </w:rPr>
              <w:t xml:space="preserve">Garantizar la protección de datos personales de clientes conforme al RGPD y la normativa interna.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sz w:val="22"/>
                <w:szCs w:val="22"/>
                <w:lang w:val="es-ES"/>
              </w:rPr>
              <w:t xml:space="preserve">Participar en las sesiones de concienciación de seguridad de la información.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sz w:val="22"/>
                <w:szCs w:val="22"/>
                <w:lang w:val="es-ES"/>
              </w:rPr>
              <w:t xml:space="preserve">Comunicar al Responsable de Seguridad cualquier incidente o brecha de seguridad detectada.</w:t>
            </w:r>
          </w:p>
        </w:tc>
      </w:tr>
      <w:tr>
        <w:trPr>
          <w:trHeight w:val="362" w:hRule="atLeast"/>
        </w:trPr>
        <w:tc>
          <w:tcPr>
            <w:tcW w:type="dxa" w:w="10348"/>
            <w:gridSpan w:val="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1FDF9" w:color="auto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sz w:val="22"/>
                <w:szCs w:val="22"/>
                <w:lang w:val="es-ES"/>
              </w:rPr>
              <w:t xml:space="preserve">PERFIL</w:t>
            </w:r>
          </w:p>
        </w:tc>
      </w:tr>
      <w:tr>
        <w:trPr>
          <w:trHeight w:val="362" w:hRule="atLeast"/>
        </w:trPr>
        <w:tc>
          <w:tcPr>
            <w:tcW w:type="dxa" w:w="26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1FDF9" w:color="auto" w:val="clear"/>
            <w:vAlign w:val="top"/>
          </w:tcPr>
          <w:p>
            <w:pPr>
              <w:spacing w:before="60" w:after="6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sz w:val="22"/>
                <w:szCs w:val="22"/>
                <w:lang w:val="es-ES"/>
              </w:rPr>
              <w:t xml:space="preserve">Formación necesaria</w:t>
            </w:r>
          </w:p>
        </w:tc>
        <w:tc>
          <w:tcPr>
            <w:tcW w:type="dxa" w:w="772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sz w:val="22"/>
                <w:szCs w:val="22"/>
                <w:lang w:val="es-ES"/>
              </w:rPr>
              <w:t xml:space="preserve">Titulación universitaria en ADE, Marketing, Economía o similar.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sz w:val="22"/>
                <w:szCs w:val="22"/>
                <w:lang w:val="es-ES"/>
              </w:rPr>
              <w:t xml:space="preserve">Valorable formación complementaria en ventas B2B o tecnología.</w:t>
            </w:r>
          </w:p>
        </w:tc>
      </w:tr>
      <w:tr>
        <w:trPr>
          <w:trHeight w:val="362" w:hRule="atLeast"/>
        </w:trPr>
        <w:tc>
          <w:tcPr>
            <w:tcW w:type="dxa" w:w="26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1FDF9" w:color="auto" w:val="clear"/>
            <w:vAlign w:val="top"/>
          </w:tcPr>
          <w:p>
            <w:pPr>
              <w:spacing w:before="60" w:after="6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sz w:val="22"/>
                <w:szCs w:val="22"/>
                <w:lang w:val="es-ES"/>
              </w:rPr>
              <w:t xml:space="preserve">Conocimientos deseables</w:t>
            </w:r>
          </w:p>
        </w:tc>
        <w:tc>
          <w:tcPr>
            <w:tcW w:type="dxa" w:w="772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sz w:val="22"/>
                <w:szCs w:val="22"/>
                <w:lang w:val="es-ES"/>
              </w:rPr>
              <w:t xml:space="preserve">Técnicas de venta consultiva B2B.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sz w:val="22"/>
                <w:szCs w:val="22"/>
                <w:lang w:val="es-ES"/>
              </w:rPr>
              <w:t xml:space="preserve">Conocimiento del sector tecnológico y SaaS.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sz w:val="22"/>
                <w:szCs w:val="22"/>
                <w:lang w:val="es-ES"/>
              </w:rPr>
              <w:t xml:space="preserve">Herramientas CRM (HubSpot, Salesforce o similar).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sz w:val="22"/>
                <w:szCs w:val="22"/>
                <w:lang w:val="es-ES"/>
              </w:rPr>
              <w:t xml:space="preserve">Fundamentos de marketing digital.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sz w:val="22"/>
                <w:szCs w:val="22"/>
                <w:lang w:val="es-ES"/>
              </w:rPr>
              <w:t xml:space="preserve">Nociones básicas de protección de datos y seguridad de la información.</w:t>
            </w:r>
          </w:p>
        </w:tc>
      </w:tr>
      <w:tr>
        <w:trPr>
          <w:trHeight w:val="362" w:hRule="atLeast"/>
        </w:trPr>
        <w:tc>
          <w:tcPr>
            <w:tcW w:type="dxa" w:w="26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1FDF9" w:color="auto" w:val="clear"/>
            <w:vAlign w:val="top"/>
          </w:tcPr>
          <w:p>
            <w:pPr>
              <w:spacing w:before="60" w:after="6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sz w:val="22"/>
                <w:szCs w:val="22"/>
                <w:lang w:val="es-ES"/>
              </w:rPr>
              <w:t xml:space="preserve">Experiencia requerida</w:t>
            </w:r>
          </w:p>
        </w:tc>
        <w:tc>
          <w:tcPr>
            <w:tcW w:type="dxa" w:w="772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sz w:val="22"/>
                <w:szCs w:val="22"/>
                <w:lang w:val="es-ES"/>
              </w:rPr>
              <w:t xml:space="preserve">Mínimo 2 años de experiencia en ventas B2B, preferiblemente en sector tecnológico o servicios profesionales.</w:t>
            </w:r>
          </w:p>
        </w:tc>
      </w:tr>
      <w:tr>
        <w:trPr>
          <w:trHeight w:val="362" w:hRule="atLeast"/>
        </w:trPr>
        <w:tc>
          <w:tcPr>
            <w:tcW w:type="dxa" w:w="26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1FDF9" w:color="auto" w:val="clear"/>
            <w:vAlign w:val="top"/>
          </w:tcPr>
          <w:p>
            <w:pPr>
              <w:spacing w:before="60" w:after="6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sz w:val="22"/>
                <w:szCs w:val="22"/>
                <w:lang w:val="es-ES"/>
              </w:rPr>
              <w:t xml:space="preserve">Habilidades</w:t>
            </w:r>
          </w:p>
        </w:tc>
        <w:tc>
          <w:tcPr>
            <w:tcW w:type="dxa" w:w="772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sz w:val="22"/>
                <w:szCs w:val="22"/>
                <w:lang w:val="es-ES"/>
              </w:rPr>
              <w:t xml:space="preserve">Orientación a resultados y capacidad de cierre.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sz w:val="22"/>
                <w:szCs w:val="22"/>
                <w:lang w:val="es-ES"/>
              </w:rPr>
              <w:t xml:space="preserve">Comunicación persuasiva y habilidades de negociación.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sz w:val="22"/>
                <w:szCs w:val="22"/>
                <w:lang w:val="es-ES"/>
              </w:rPr>
              <w:t xml:space="preserve">Proactividad y autonomía.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sz w:val="22"/>
                <w:szCs w:val="22"/>
                <w:lang w:val="es-ES"/>
              </w:rPr>
              <w:t xml:space="preserve">Capacidad de organización y gestión del tiempo.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sz w:val="22"/>
                <w:szCs w:val="22"/>
                <w:lang w:val="es-ES"/>
              </w:rPr>
              <w:t xml:space="preserve">Trabajo en equipo y colaboración interdepartamental.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sz w:val="22"/>
                <w:szCs w:val="22"/>
                <w:lang w:val="es-ES"/>
              </w:rPr>
              <w:t xml:space="preserve">Resiliencia y gestión del rechazo.</w:t>
            </w:r>
          </w:p>
        </w:tc>
      </w:tr>
    </w:tbl>
    <w:sectPr>
      <w:headerReference w:type="default" r:id="rId6"/>
      <w:footerReference w:type="default" r:id="rId7"/>
      <w:pgSz w:w="11900" w:h="16840" w:orient="portrait"/>
      <w:pgMar w:top="1985" w:right="1127" w:bottom="1276" w:left="12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404040"/>
        <w:sz w:val="16"/>
        <w:szCs w:val="16"/>
      </w:rPr>
      <w:t xml:space="preserve">optimTech - Documento de uso interno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34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3119"/>
      <w:gridCol w:w="3505"/>
      <w:gridCol w:w="3716"/>
    </w:tblGrid>
    <w:tr>
      <w:trPr>
        <w:trHeight w:val="735" w:hRule="atLeast"/>
      </w:trPr>
      <w:tc>
        <w:tcPr>
          <w:tcW w:type="dxa" w:w="3119"/>
          <w:vMerge w:val="restart"/>
          <w:tcBorders>
            <w:top w:val="single" w:color="BFBFBF" w:sz="6"/>
            <w:left w:val="single" w:color="BFBFBF" w:sz="6"/>
            <w:bottom w:val="single" w:color="BFBFBF" w:sz="6"/>
            <w:right w:val="single" w:color="BFBFBF" w:sz="6"/>
          </w:tcBorders>
          <w:vAlign w:val="center"/>
        </w:tcPr>
        <w:p>
          <w:pPr>
            <w:spacing w:before="120" w:after="20"/>
            <w:jc w:val="center"/>
          </w:pPr>
          <w:r>
            <w:drawing>
              <wp:inline distT="0" distB="0" distL="0" distR="0">
                <wp:extent cx="1162050" cy="4762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476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221"/>
          <w:gridSpan w:val="2"/>
          <w:tcBorders>
            <w:top w:val="single" w:color="BFBFBF" w:sz="6"/>
            <w:left w:val="single" w:color="BFBFBF" w:sz="6"/>
            <w:bottom w:val="single" w:color="BFBFBF" w:sz="6"/>
            <w:right w:val="single" w:color="BFBFBF" w:sz="6"/>
          </w:tcBorders>
          <w:vAlign w:val="center"/>
        </w:tcPr>
        <w:p>
          <w:pPr>
            <w:spacing w:before="60" w:after="60"/>
            <w:jc w:val="center"/>
          </w:pPr>
          <w:r>
            <w:rPr>
              <w:rFonts w:ascii="Segoe UI" w:cs="Segoe UI" w:eastAsia="Segoe UI" w:hAnsi="Segoe UI"/>
              <w:b/>
              <w:bCs/>
              <w:i w:val="false"/>
              <w:iCs w:val="false"/>
              <w:color w:val="808080"/>
              <w:sz w:val="20"/>
              <w:szCs w:val="20"/>
              <w:lang w:val="es-ES"/>
            </w:rPr>
            <w:t xml:space="preserve">DESCRIPCIÓN DE PUESTO DE TRABAJO</w:t>
          </w:r>
          <w:r>
            <w:br/>
          </w:r>
          <w:r>
            <w:rPr>
              <w:rFonts w:ascii="Segoe UI" w:cs="Segoe UI" w:eastAsia="Segoe UI" w:hAnsi="Segoe UI"/>
              <w:b/>
              <w:bCs/>
              <w:i w:val="false"/>
              <w:iCs w:val="false"/>
              <w:color w:val="808080"/>
              <w:sz w:val="20"/>
              <w:szCs w:val="20"/>
              <w:lang w:val="es-ES"/>
            </w:rPr>
            <w:t xml:space="preserve">COMERCIAL - VENTAS</w:t>
          </w:r>
        </w:p>
      </w:tc>
    </w:tr>
    <w:tr>
      <w:trPr>
        <w:trHeight w:val="547" w:hRule="atLeast"/>
      </w:trPr>
      <w:tc>
        <w:tcPr>
          <w:vMerge w:val="continue"/>
          <w:tcBorders>
            <w:top w:val="single" w:color="BFBFBF" w:sz="6"/>
            <w:left w:val="single" w:color="BFBFBF" w:sz="6"/>
            <w:bottom w:val="single" w:color="BFBFBF" w:sz="6"/>
            <w:right w:val="single" w:color="BFBFBF" w:sz="6"/>
          </w:tcBorders>
        </w:tcPr>
        <w:p/>
      </w:tc>
      <w:tc>
        <w:tcPr>
          <w:tcW w:type="dxa" w:w="3505"/>
          <w:tcBorders>
            <w:top w:val="single" w:color="BFBFBF" w:sz="6"/>
            <w:left w:val="single" w:color="BFBFBF" w:sz="6"/>
            <w:bottom w:val="single" w:color="BFBFBF" w:sz="6"/>
            <w:right w:val="single" w:color="BFBFBF" w:sz="6"/>
          </w:tcBorders>
          <w:vAlign w:val="center"/>
        </w:tcPr>
        <w:p>
          <w:pPr>
            <w:spacing w:before="40" w:after="20"/>
            <w:jc w:val="center"/>
          </w:pPr>
          <w:r>
            <w:rPr>
              <w:rFonts w:ascii="Segoe UI" w:cs="Segoe UI" w:eastAsia="Segoe UI" w:hAnsi="Segoe UI"/>
              <w:b w:val="false"/>
              <w:bCs w:val="false"/>
              <w:i w:val="false"/>
              <w:iCs w:val="false"/>
              <w:color w:val="808080"/>
              <w:sz w:val="18"/>
              <w:szCs w:val="18"/>
              <w:lang w:val="es-ES"/>
            </w:rPr>
            <w:t xml:space="preserve">DPT06 Rev.01</w:t>
          </w:r>
        </w:p>
      </w:tc>
      <w:tc>
        <w:tcPr>
          <w:tcW w:type="dxa" w:w="3716"/>
          <w:tcBorders>
            <w:top w:val="single" w:color="BFBFBF" w:sz="6"/>
            <w:left w:val="single" w:color="BFBFBF" w:sz="6"/>
            <w:bottom w:val="single" w:color="BFBFBF" w:sz="6"/>
            <w:right w:val="single" w:color="BFBFBF" w:sz="6"/>
          </w:tcBorders>
          <w:vAlign w:val="center"/>
        </w:tcPr>
        <w:p>
          <w:pPr>
            <w:spacing w:before="40" w:after="20"/>
            <w:jc w:val="center"/>
          </w:pPr>
          <w:r>
            <w:rPr>
              <w:rFonts w:ascii="Segoe UI" w:cs="Segoe UI" w:eastAsia="Segoe UI" w:hAnsi="Segoe UI"/>
              <w:b w:val="false"/>
              <w:bCs w:val="false"/>
              <w:i w:val="false"/>
              <w:iCs w:val="false"/>
              <w:color w:val="808080"/>
              <w:sz w:val="18"/>
              <w:szCs w:val="18"/>
              <w:lang w:val="es-ES"/>
            </w:rPr>
            <w:t xml:space="preserve">USO INTERNO</w:t>
          </w:r>
        </w:p>
      </w:tc>
    </w:tr>
  </w:tbl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  <w:rPr>
        <w:rFonts w:ascii="Segoe UI" w:cs="Segoe UI" w:eastAsia="Segoe UI" w:hAnsi="Segoe UI"/>
        <w:sz w:val="22"/>
        <w:szCs w:val="22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  <w:lang w:val="es-E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13facbae0a806444d7b95f595ae94c64a27ba4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2026-03-08T10:16:26.680Z</dcterms:created>
  <dcterms:modified xsi:type="dcterms:W3CDTF">2026-03-08T10:16:26.680Z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