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2143125" cy="885825"/>
            <wp:effectExtent t="0" r="0" b="0" l="0"/>
            <wp:docPr id="1" name="logo_cover" descr="Logo de OPTIMTECH"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885825"/>
                    </a:xfrm>
                    <a:prstGeom prst="rect">
                      <a:avLst/>
                    </a:prstGeom>
                  </pic:spPr>
                </pic:pic>
              </a:graphicData>
            </a:graphic>
          </wp:inline>
        </w:drawing>
      </w:r>
    </w:p>
    <w:p>
      <w:pPr>
        <w:spacing w:before="800"/>
      </w:pPr>
    </w:p>
    <w:p>
      <w:pPr>
        <w:jc w:val="center"/>
      </w:pPr>
      <w:r>
        <w:rPr>
          <w:rFonts w:ascii="Calibri" w:cs="Calibri" w:eastAsia="Calibri" w:hAnsi="Calibri"/>
          <w:b/>
          <w:bCs/>
          <w:color w:val="0D9A76"/>
          <w:sz w:val="80"/>
          <w:szCs w:val="80"/>
        </w:rPr>
        <w:t xml:space="preserve">Acuerdo de Nivel de Servicio</w:t>
      </w:r>
    </w:p>
    <w:p>
      <w:pPr>
        <w:spacing w:before="200"/>
        <w:jc w:val="center"/>
      </w:pPr>
      <w:r>
        <w:rPr>
          <w:rFonts w:ascii="Calibri" w:cs="Calibri" w:eastAsia="Calibri" w:hAnsi="Calibri"/>
          <w:b/>
          <w:bCs/>
          <w:color w:val="0D9A76"/>
          <w:sz w:val="60"/>
          <w:szCs w:val="60"/>
        </w:rPr>
        <w:t xml:space="preserve">(SLA)</w:t>
      </w:r>
    </w:p>
    <w:p>
      <w:pPr>
        <w:spacing w:before="400"/>
        <w:jc w:val="center"/>
      </w:pPr>
      <w:r>
        <w:rPr>
          <w:rFonts w:ascii="Calibri" w:cs="Calibri" w:eastAsia="Calibri" w:hAnsi="Calibri"/>
          <w:color w:val="0D9A76"/>
          <w:sz w:val="28"/>
          <w:szCs w:val="28"/>
        </w:rPr>
        <w:t xml:space="preserve">V1.0</w:t>
      </w:r>
    </w:p>
    <w:p>
      <w:r>
        <w:br w:type="page"/>
      </w:r>
    </w:p>
    <w:p>
      <w:pPr>
        <w:sectPr>
          <w:headerReference w:type="default" r:id="rId6"/>
          <w:footerReference w:type="default" r:id="rId7"/>
          <w:pgSz w:w="11900" w:h="16840" w:orient="portrait"/>
          <w:pgMar w:top="1985" w:right="1127" w:bottom="1276" w:left="1276" w:header="708" w:footer="548" w:gutter="0"/>
          <w:pgNumType/>
          <w:docGrid w:linePitch="360"/>
        </w:sectPr>
      </w:pPr>
    </w:p>
    <w:p>
      <w:pPr>
        <w:pStyle w:val="Heading1"/>
      </w:pPr>
      <w:r>
        <w:t xml:space="preserve">Control Documental</w:t>
      </w: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487"/>
        <w:gridCol w:w="2000"/>
      </w:tblGrid>
      <w:tr>
        <w:tc>
          <w:tcPr>
            <w:tcW w:type="dxa" w:w="1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tcPr>
          <w:p>
            <w:pPr>
              <w:jc w:val="center"/>
            </w:pPr>
            <w:r>
              <w:rPr>
                <w:rFonts w:ascii="Calibri" w:cs="Calibri" w:eastAsia="Calibri" w:hAnsi="Calibri"/>
                <w:b/>
                <w:bCs/>
                <w:sz w:val="22"/>
                <w:szCs w:val="22"/>
              </w:rPr>
              <w:t xml:space="preserve">Fecha</w:t>
            </w:r>
          </w:p>
        </w:tc>
        <w:tc>
          <w:tcPr>
            <w:tcW w:type="dxa" w:w="12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tcPr>
          <w:p>
            <w:pPr>
              <w:jc w:val="center"/>
            </w:pPr>
            <w:r>
              <w:rPr>
                <w:rFonts w:ascii="Calibri" w:cs="Calibri" w:eastAsia="Calibri" w:hAnsi="Calibri"/>
                <w:b/>
                <w:bCs/>
                <w:sz w:val="22"/>
                <w:szCs w:val="22"/>
              </w:rPr>
              <w:t xml:space="preserve">Version</w:t>
            </w:r>
          </w:p>
        </w:tc>
        <w:tc>
          <w:tcPr>
            <w:tcW w:type="dxa" w:w="4487"/>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tcPr>
          <w:p>
            <w:pPr>
              <w:jc w:val="center"/>
            </w:pPr>
            <w:r>
              <w:rPr>
                <w:rFonts w:ascii="Calibri" w:cs="Calibri" w:eastAsia="Calibri" w:hAnsi="Calibri"/>
                <w:b/>
                <w:bCs/>
                <w:sz w:val="22"/>
                <w:szCs w:val="22"/>
              </w:rPr>
              <w:t xml:space="preserve">Modificaciones</w:t>
            </w:r>
          </w:p>
        </w:tc>
        <w:tc>
          <w:tcPr>
            <w:tcW w:type="dxa" w:w="20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tcPr>
          <w:p>
            <w:pPr>
              <w:jc w:val="center"/>
            </w:pPr>
            <w:r>
              <w:rPr>
                <w:rFonts w:ascii="Calibri" w:cs="Calibri" w:eastAsia="Calibri" w:hAnsi="Calibri"/>
                <w:b/>
                <w:bCs/>
                <w:sz w:val="22"/>
                <w:szCs w:val="22"/>
              </w:rPr>
              <w:t xml:space="preserve">Autor</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jc w:val="center"/>
            </w:pPr>
            <w:r>
              <w:rPr>
                <w:rFonts w:ascii="Calibri" w:cs="Calibri" w:eastAsia="Calibri" w:hAnsi="Calibri"/>
                <w:sz w:val="22"/>
                <w:szCs w:val="22"/>
              </w:rPr>
              <w:t xml:space="preserve">08/03/2026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jc w:val="center"/>
            </w:pPr>
            <w:r>
              <w:rPr>
                <w:rFonts w:ascii="Calibri" w:cs="Calibri" w:eastAsia="Calibri" w:hAnsi="Calibri"/>
                <w:sz w:val="22"/>
                <w:szCs w:val="22"/>
              </w:rPr>
              <w:t xml:space="preserve">1.0</w:t>
            </w:r>
          </w:p>
        </w:tc>
        <w:tc>
          <w:tcPr>
            <w:tcW w:type="dxa" w:w="4487"/>
            <w:tcBorders>
              <w:top w:val="single" w:color="D9D9D9" w:sz="4"/>
              <w:left w:val="single" w:color="D9D9D9" w:sz="4"/>
              <w:bottom w:val="single" w:color="D9D9D9" w:sz="4"/>
              <w:right w:val="single" w:color="D9D9D9" w:sz="4"/>
            </w:tcBorders>
            <w:tcMar>
              <w:top w:type="dxa" w:w="80"/>
              <w:left w:type="dxa" w:w="120"/>
              <w:bottom w:type="dxa" w:w="80"/>
              <w:right w:type="dxa" w:w="120"/>
            </w:tcMar>
          </w:tcPr>
          <w:p>
            <w:pPr>
              <w:jc w:val="center"/>
            </w:pPr>
            <w:r>
              <w:rPr>
                <w:rFonts w:ascii="Calibri" w:cs="Calibri" w:eastAsia="Calibri" w:hAnsi="Calibri"/>
                <w:sz w:val="22"/>
                <w:szCs w:val="22"/>
              </w:rPr>
              <w:t xml:space="preserve">Creación del documento</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jc w:val="center"/>
            </w:pPr>
            <w:r>
              <w:rPr>
                <w:rFonts w:ascii="Calibri" w:cs="Calibri" w:eastAsia="Calibri" w:hAnsi="Calibri"/>
                <w:sz w:val="22"/>
                <w:szCs w:val="22"/>
              </w:rPr>
              <w:t xml:space="preserve">OPTIMTECH</w:t>
            </w:r>
          </w:p>
        </w:tc>
      </w:tr>
    </w:tbl>
    <w:p>
      <w:r>
        <w:br w:type="page"/>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Objeto y Alcance</w:t>
      </w:r>
    </w:p>
    <w:p>
      <w:pPr>
        <w:spacing w:after="120"/>
      </w:pPr>
      <w:r>
        <w:rPr>
          <w:rFonts w:ascii="Calibri" w:cs="Calibri" w:eastAsia="Calibri" w:hAnsi="Calibri"/>
          <w:sz w:val="22"/>
          <w:szCs w:val="22"/>
        </w:rPr>
        <w:t xml:space="preserve">El presente documento establece los niveles de servicio (SLA) que OPTIMTECH (Optim AI Improvement s.l.) se compromete a cumplir en la prestación de servicios tecnológicos a sus clientes.</w:t>
      </w:r>
    </w:p>
    <w:p>
      <w:pPr>
        <w:spacing w:after="120"/>
      </w:pPr>
      <w:r>
        <w:rPr>
          <w:rFonts w:ascii="Calibri" w:cs="Calibri" w:eastAsia="Calibri" w:hAnsi="Calibri"/>
          <w:sz w:val="22"/>
          <w:szCs w:val="22"/>
        </w:rPr>
        <w:t xml:space="preserve">Este acuerdo aplica a los servicios de:</w:t>
      </w:r>
    </w:p>
    <w:p>
      <w:pPr>
        <w:pStyle w:val="ListParagraph"/>
        <w:numPr>
          <w:ilvl w:val="0"/>
          <w:numId w:val="2"/>
        </w:numPr>
      </w:pPr>
      <w:r>
        <w:rPr>
          <w:rFonts w:ascii="Calibri" w:cs="Calibri" w:eastAsia="Calibri" w:hAnsi="Calibri"/>
          <w:sz w:val="22"/>
          <w:szCs w:val="22"/>
        </w:rPr>
        <w:t xml:space="preserve">Desarrollo y despliegue de soluciones de Inteligencia Artificial</w:t>
      </w:r>
    </w:p>
    <w:p>
      <w:pPr>
        <w:pStyle w:val="ListParagraph"/>
        <w:numPr>
          <w:ilvl w:val="0"/>
          <w:numId w:val="2"/>
        </w:numPr>
      </w:pPr>
      <w:r>
        <w:rPr>
          <w:rFonts w:ascii="Calibri" w:cs="Calibri" w:eastAsia="Calibri" w:hAnsi="Calibri"/>
          <w:sz w:val="22"/>
          <w:szCs w:val="22"/>
        </w:rPr>
        <w:t xml:space="preserve">Consultoría de mejora de procesos con IA</w:t>
      </w:r>
    </w:p>
    <w:p>
      <w:pPr>
        <w:pStyle w:val="ListParagraph"/>
        <w:numPr>
          <w:ilvl w:val="0"/>
          <w:numId w:val="2"/>
        </w:numPr>
      </w:pPr>
      <w:r>
        <w:rPr>
          <w:rFonts w:ascii="Calibri" w:cs="Calibri" w:eastAsia="Calibri" w:hAnsi="Calibri"/>
          <w:sz w:val="22"/>
          <w:szCs w:val="22"/>
        </w:rPr>
        <w:t xml:space="preserve">Mantenimiento y soporte de aplicaciones web/API desplegadas</w:t>
      </w:r>
    </w:p>
    <w:p>
      <w:pPr>
        <w:spacing w:after="120"/>
      </w:pPr>
    </w:p>
    <w:p>
      <w:pPr>
        <w:pStyle w:val="Heading2"/>
      </w:pPr>
      <w:r>
        <w:t xml:space="preserve">1.1. Datos del cliente</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000"/>
        <w:gridCol w:w="6497"/>
      </w:tblGrid>
      <w:tr>
        <w:tc>
          <w:tcPr>
            <w:tcW w:type="dxa" w:w="30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Campo</w:t>
            </w:r>
          </w:p>
        </w:tc>
        <w:tc>
          <w:tcPr>
            <w:tcW w:type="dxa" w:w="64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Valor</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Cliente</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[NOMBRE DEL CLIENTE]</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CIF/NIF</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[CIF/NIF]</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 de contacto</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[NOMBRE Y CARGO]</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Email de contacto</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[EMAIL]</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Teléfono de contacto</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[TELÉFONO]</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Servicio contratado</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[DESCRIPCIÓN DEL SERVICIO]</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Contrato de referencia</w:t>
            </w:r>
          </w:p>
        </w:tc>
        <w:tc>
          <w:tcPr>
            <w:tcW w:type="dxa" w:w="6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[NÚMERO DE CONTRATO]</w:t>
            </w:r>
          </w:p>
        </w:tc>
      </w:tr>
    </w:tbl>
    <w:p>
      <w:pPr>
        <w:spacing w:after="120"/>
      </w:pPr>
    </w:p>
    <w:p>
      <w:pPr>
        <w:spacing w:after="120"/>
      </w:pPr>
      <w:r>
        <w:rPr>
          <w:rFonts w:ascii="Calibri" w:cs="Calibri" w:eastAsia="Calibri" w:hAnsi="Calibri"/>
          <w:sz w:val="22"/>
          <w:szCs w:val="22"/>
        </w:rPr>
        <w:t xml:space="preserve">Los campos marcados entre corchetes deben personalizarse para cada cliente.</w:t>
      </w:r>
    </w:p>
    <w:p>
      <w:pPr>
        <w:pStyle w:val="Heading1"/>
      </w:pPr>
      <w:r>
        <w:t xml:space="preserve">2. Definiciones</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2500"/>
        <w:gridCol w:w="6997"/>
      </w:tblGrid>
      <w:tr>
        <w:tc>
          <w:tcPr>
            <w:tcW w:type="dxa" w:w="2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Término</w:t>
            </w:r>
          </w:p>
        </w:tc>
        <w:tc>
          <w:tcPr>
            <w:tcW w:type="dxa" w:w="69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Definición</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Incidencia</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Evento no planificado que causa o puede causar una interrupción o reducción en la calidad del servicio.</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Petición de servicio</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Solicitud formal del cliente para una modificación, información o acceso que no constituye una incidencia.</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de respuesta</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transcurrido desde la notificación de una incidencia hasta la primera comunicación de OPTIMTECH confirmando su recepción y clasificación.</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de resolución</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transcurrido desde la clasificación de la incidencia hasta la restauración del servicio o la aplicación de una solución temporal aceptable.</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Disponibilidad</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Porcentaje de tiempo en que el servicio está operativo y accesible dentro del horario de servicio, excluidos los periodos de mantenimiento planificado.</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Mantenimiento planificado</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Intervención técnica programada y comunicada previamente al cliente con un mínimo de 48 horas de antelación.</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Hora laborable</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Hora comprendida dentro del horario de servicio definido en la sección 5.</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Fuerza mayor</w:t>
            </w:r>
          </w:p>
        </w:tc>
        <w:tc>
          <w:tcPr>
            <w:tcW w:type="dxa" w:w="6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Circunstancia imprevisible e inevitable ajena al control de las partes, incluyendo desastres naturales, conflictos bélicos y decisiones gubernamentales.</w:t>
            </w:r>
          </w:p>
        </w:tc>
      </w:tr>
    </w:tbl>
    <w:p>
      <w:pPr>
        <w:pStyle w:val="Heading1"/>
      </w:pPr>
      <w:r>
        <w:t xml:space="preserve">3. Niveles de Servicio durante la Ejecución del Proyecto</w:t>
      </w:r>
    </w:p>
    <w:p>
      <w:pPr>
        <w:spacing w:after="120"/>
      </w:pPr>
      <w:r>
        <w:rPr>
          <w:rFonts w:ascii="Calibri" w:cs="Calibri" w:eastAsia="Calibri" w:hAnsi="Calibri"/>
          <w:sz w:val="22"/>
          <w:szCs w:val="22"/>
        </w:rPr>
        <w:t xml:space="preserve">Durante la fase de desarrollo y ejecución del proyecto, OPTIMTECH se compromete a los siguientes niveles de servicio:</w:t>
      </w:r>
    </w:p>
    <w:p>
      <w:pPr>
        <w:pStyle w:val="Heading2"/>
      </w:pPr>
      <w:r>
        <w:t xml:space="preserve">3.1. Comunicación y seguimiento</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197"/>
      </w:tblGrid>
      <w:tr>
        <w:tc>
          <w:tcPr>
            <w:tcW w:type="dxa" w:w="3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Compromiso</w:t>
            </w:r>
          </w:p>
        </w:tc>
        <w:tc>
          <w:tcPr>
            <w:tcW w:type="dxa" w:w="28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Valor por defecto</w:t>
            </w:r>
          </w:p>
        </w:tc>
        <w:tc>
          <w:tcPr>
            <w:tcW w:type="dxa" w:w="31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Personalizado</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Informes de avance del proyecto</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Quincenal</w:t>
            </w:r>
          </w:p>
        </w:tc>
        <w:tc>
          <w:tcPr>
            <w:tcW w:type="dxa" w:w="31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Respuesta a peticiones de cambio de alcance</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5 días laborables</w:t>
            </w:r>
          </w:p>
        </w:tc>
        <w:tc>
          <w:tcPr>
            <w:tcW w:type="dxa" w:w="31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Disponibilidad para reuniones de seguimiento</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Semanal (previa cita)</w:t>
            </w:r>
          </w:p>
        </w:tc>
        <w:tc>
          <w:tcPr>
            <w:tcW w:type="dxa" w:w="31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bl>
    <w:p>
      <w:pPr>
        <w:spacing w:after="120"/>
      </w:pPr>
    </w:p>
    <w:p>
      <w:pPr>
        <w:pStyle w:val="Heading2"/>
      </w:pPr>
      <w:r>
        <w:t xml:space="preserve">3.2. Entrega de hitos</w:t>
      </w:r>
    </w:p>
    <w:p>
      <w:pPr>
        <w:spacing w:after="120"/>
      </w:pPr>
      <w:r>
        <w:rPr>
          <w:rFonts w:ascii="Calibri" w:cs="Calibri" w:eastAsia="Calibri" w:hAnsi="Calibri"/>
          <w:sz w:val="22"/>
          <w:szCs w:val="22"/>
        </w:rPr>
        <w:t xml:space="preserve">Los hitos del proyecto se entregarán conforme al cronograma acordado en el contrato, con un margen de tolerancia del ±10% sobre la duración estimada de cada fase.</w:t>
      </w:r>
    </w:p>
    <w:p>
      <w:pPr>
        <w:spacing w:after="120"/>
      </w:pPr>
      <w:r>
        <w:rPr>
          <w:rFonts w:ascii="Calibri" w:cs="Calibri" w:eastAsia="Calibri" w:hAnsi="Calibri"/>
          <w:sz w:val="22"/>
          <w:szCs w:val="22"/>
        </w:rPr>
        <w:t xml:space="preserve">En caso de desviación superior al margen de tolerancia, OPTIMTECH comunicará al cliente la nueva fecha estimada con un mínimo de 5 días laborables de antelación, justificando los motivos del retraso.</w:t>
      </w:r>
    </w:p>
    <w:p>
      <w:pPr>
        <w:pStyle w:val="Heading2"/>
      </w:pPr>
      <w:r>
        <w:t xml:space="preserve">3.3. Gestión de cambios de alcance</w:t>
      </w:r>
    </w:p>
    <w:p>
      <w:pPr>
        <w:spacing w:after="120"/>
      </w:pPr>
      <w:r>
        <w:rPr>
          <w:rFonts w:ascii="Calibri" w:cs="Calibri" w:eastAsia="Calibri" w:hAnsi="Calibri"/>
          <w:sz w:val="22"/>
          <w:szCs w:val="22"/>
        </w:rPr>
        <w:t xml:space="preserve">Las peticiones de cambio de alcance serán evaluadas por OPTIMTECH, que proporcionará una valoración de impacto (plazo, coste, riesgo) en un máximo de 5 días laborables. Ningún cambio de alcance se ejecutará sin aprobación formal por escrito de ambas partes.</w:t>
      </w:r>
    </w:p>
    <w:p>
      <w:pPr>
        <w:pStyle w:val="Heading1"/>
      </w:pPr>
      <w:r>
        <w:t xml:space="preserve">4. Niveles de Servicio de Soporte Post-Entrega</w:t>
      </w:r>
    </w:p>
    <w:p>
      <w:pPr>
        <w:spacing w:after="120"/>
      </w:pPr>
      <w:r>
        <w:rPr>
          <w:rFonts w:ascii="Calibri" w:cs="Calibri" w:eastAsia="Calibri" w:hAnsi="Calibri"/>
          <w:sz w:val="22"/>
          <w:szCs w:val="22"/>
        </w:rPr>
        <w:t xml:space="preserve">Una vez entregado el proyecto en producción, OPTIMTECH prestará soporte técnico conforme a los niveles definidos a continuación.</w:t>
      </w:r>
    </w:p>
    <w:p>
      <w:pPr>
        <w:pStyle w:val="Heading2"/>
      </w:pPr>
      <w:r>
        <w:t xml:space="preserve">4.1. Clasificación de incidencias</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97"/>
      </w:tblGrid>
      <w:tr>
        <w:tc>
          <w:tcPr>
            <w:tcW w:type="dxa" w:w="18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Prioridad</w:t>
            </w:r>
          </w:p>
        </w:tc>
        <w:tc>
          <w:tcPr>
            <w:tcW w:type="dxa" w:w="38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Descripción</w:t>
            </w:r>
          </w:p>
        </w:tc>
        <w:tc>
          <w:tcPr>
            <w:tcW w:type="dxa" w:w="38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Ejemplos</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P1 — Crítica</w:t>
            </w:r>
          </w:p>
        </w:tc>
        <w:tc>
          <w:tcPr>
            <w:tcW w:type="dxa" w:w="3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Servicio completamente caído o inaccesible. No existe solución temporal.</w:t>
            </w:r>
          </w:p>
        </w:tc>
        <w:tc>
          <w:tcPr>
            <w:tcW w:type="dxa" w:w="38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Aplicación no responde, pérdida de datos, fallo de seguridad crítico.</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P2 — Alta</w:t>
            </w:r>
          </w:p>
        </w:tc>
        <w:tc>
          <w:tcPr>
            <w:tcW w:type="dxa" w:w="3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Funcionalidad principal degradada o parcialmente inoperativa.</w:t>
            </w:r>
          </w:p>
        </w:tc>
        <w:tc>
          <w:tcPr>
            <w:tcW w:type="dxa" w:w="38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Rendimiento muy reducido, funcionalidad clave no disponible con workaround limitado.</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P3 — Media</w:t>
            </w:r>
          </w:p>
        </w:tc>
        <w:tc>
          <w:tcPr>
            <w:tcW w:type="dxa" w:w="3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Error menor que no impide el uso del servicio. Existe solución temporal.</w:t>
            </w:r>
          </w:p>
        </w:tc>
        <w:tc>
          <w:tcPr>
            <w:tcW w:type="dxa" w:w="38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Error en un informe, fallo visual, funcionalidad secundaria no disponible.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P4 — Baja</w:t>
            </w:r>
          </w:p>
        </w:tc>
        <w:tc>
          <w:tcPr>
            <w:tcW w:type="dxa" w:w="3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Mejora, consulta o solicitud de información.</w:t>
            </w:r>
          </w:p>
        </w:tc>
        <w:tc>
          <w:tcPr>
            <w:tcW w:type="dxa" w:w="38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Petición de nueva funcionalidad, pregunta sobre uso, ajuste estético.</w:t>
            </w:r>
          </w:p>
        </w:tc>
      </w:tr>
    </w:tbl>
    <w:p>
      <w:pPr>
        <w:spacing w:after="120"/>
      </w:pPr>
    </w:p>
    <w:p>
      <w:pPr>
        <w:pStyle w:val="Heading2"/>
      </w:pPr>
      <w:r>
        <w:t xml:space="preserve">4.2. Tiempos de respuesta y resolución</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497"/>
      </w:tblGrid>
      <w:tr>
        <w:tc>
          <w:tcPr>
            <w:tcW w:type="dxa" w:w="18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Prioridad</w:t>
            </w:r>
          </w:p>
        </w:tc>
        <w:tc>
          <w:tcPr>
            <w:tcW w:type="dxa" w:w="24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Tiempo de respuesta</w:t>
            </w:r>
          </w:p>
        </w:tc>
        <w:tc>
          <w:tcPr>
            <w:tcW w:type="dxa" w:w="28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Tiempo de resolución</w:t>
            </w:r>
          </w:p>
        </w:tc>
        <w:tc>
          <w:tcPr>
            <w:tcW w:type="dxa" w:w="24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Personalizado</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P1 — Crítica</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4 horas laborables</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1 día laborable</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P2 — Alta</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8 horas laborables</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3 días laborables</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P3 — Media</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2 días laborables</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5 días laborables</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P4 — Baja</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5 días laborables</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A planificar</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[PERSONALIZAR]</w:t>
            </w:r>
          </w:p>
        </w:tc>
      </w:tr>
    </w:tbl>
    <w:p>
      <w:pPr>
        <w:spacing w:after="120"/>
      </w:pPr>
    </w:p>
    <w:p>
      <w:pPr>
        <w:pStyle w:val="Heading2"/>
      </w:pPr>
      <w:r>
        <w:t xml:space="preserve">4.3. Disponibilidad del servicio</w:t>
      </w:r>
    </w:p>
    <w:p>
      <w:pPr>
        <w:spacing w:after="120"/>
      </w:pPr>
      <w:r>
        <w:rPr>
          <w:rFonts w:ascii="Calibri" w:cs="Calibri" w:eastAsia="Calibri" w:hAnsi="Calibri"/>
          <w:sz w:val="22"/>
          <w:szCs w:val="22"/>
        </w:rPr>
        <w:t xml:space="preserve">OPTIMTECH garantiza una disponibilidad mensual del servicio del 99,0%, calculada como:</w:t>
      </w:r>
    </w:p>
    <w:p>
      <w:pPr>
        <w:spacing w:before="120" w:after="120"/>
        <w:jc w:val="center"/>
      </w:pPr>
      <w:r>
        <w:rPr>
          <w:rFonts w:ascii="Calibri" w:cs="Calibri" w:eastAsia="Calibri" w:hAnsi="Calibri"/>
          <w:i/>
          <w:iCs/>
          <w:sz w:val="22"/>
          <w:szCs w:val="22"/>
        </w:rPr>
        <w:t xml:space="preserve">Disponibilidad (%) = ((Horas de servicio – Horas de indisponibilidad) / Horas de servicio) × 100</w:t>
      </w:r>
    </w:p>
    <w:p>
      <w:pPr>
        <w:spacing w:after="120"/>
      </w:pPr>
      <w:r>
        <w:rPr>
          <w:rFonts w:ascii="Calibri" w:cs="Calibri" w:eastAsia="Calibri" w:hAnsi="Calibri"/>
          <w:sz w:val="22"/>
          <w:szCs w:val="22"/>
        </w:rPr>
        <w:t xml:space="preserve">Se excluyen del cálculo los periodos de mantenimiento planificado y las situaciones de fuerza mayor.</w:t>
      </w:r>
    </w:p>
    <w:p>
      <w:pPr>
        <w:pStyle w:val="Heading2"/>
      </w:pPr>
      <w:r>
        <w:t xml:space="preserve">4.4. Canales de notificación de incidencias</w:t>
      </w:r>
    </w:p>
    <w:p>
      <w:pPr>
        <w:spacing w:after="120"/>
      </w:pPr>
      <w:r>
        <w:rPr>
          <w:rFonts w:ascii="Calibri" w:cs="Calibri" w:eastAsia="Calibri" w:hAnsi="Calibri"/>
          <w:sz w:val="22"/>
          <w:szCs w:val="22"/>
        </w:rPr>
        <w:t xml:space="preserve">El cliente podrá reportar incidencias a través de los siguientes canales:</w:t>
      </w:r>
    </w:p>
    <w:p>
      <w:pPr>
        <w:pStyle w:val="ListParagraph"/>
        <w:numPr>
          <w:ilvl w:val="0"/>
          <w:numId w:val="3"/>
        </w:numPr>
      </w:pPr>
      <w:r>
        <w:rPr>
          <w:rFonts w:ascii="Calibri" w:cs="Calibri" w:eastAsia="Calibri" w:hAnsi="Calibri"/>
          <w:sz w:val="22"/>
          <w:szCs w:val="22"/>
        </w:rPr>
        <w:t xml:space="preserve">Sistema de tickets (Jira Service Management) — canal preferente</w:t>
      </w:r>
    </w:p>
    <w:p>
      <w:pPr>
        <w:pStyle w:val="ListParagraph"/>
        <w:numPr>
          <w:ilvl w:val="0"/>
          <w:numId w:val="3"/>
        </w:numPr>
      </w:pPr>
      <w:r>
        <w:rPr>
          <w:rFonts w:ascii="Calibri" w:cs="Calibri" w:eastAsia="Calibri" w:hAnsi="Calibri"/>
          <w:sz w:val="22"/>
          <w:szCs w:val="22"/>
        </w:rPr>
        <w:t xml:space="preserve">Correo electrónico: soporte@optimtech.com</w:t>
      </w:r>
    </w:p>
    <w:p>
      <w:pPr>
        <w:pStyle w:val="ListParagraph"/>
        <w:numPr>
          <w:ilvl w:val="0"/>
          <w:numId w:val="3"/>
        </w:numPr>
      </w:pPr>
      <w:r>
        <w:rPr>
          <w:rFonts w:ascii="Calibri" w:cs="Calibri" w:eastAsia="Calibri" w:hAnsi="Calibri"/>
          <w:sz w:val="22"/>
          <w:szCs w:val="22"/>
        </w:rPr>
        <w:t xml:space="preserve">Teléfono: +34 650 891 296 (solo para P1 fuera de canales digitales)</w:t>
      </w:r>
    </w:p>
    <w:p>
      <w:pPr>
        <w:spacing w:after="120"/>
      </w:pPr>
    </w:p>
    <w:p>
      <w:pPr>
        <w:pStyle w:val="Heading1"/>
      </w:pPr>
      <w:r>
        <w:t xml:space="preserve">5. Horario de Servicio</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500"/>
        <w:gridCol w:w="5997"/>
      </w:tblGrid>
      <w:tr>
        <w:tc>
          <w:tcPr>
            <w:tcW w:type="dxa" w:w="3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Concepto</w:t>
            </w:r>
          </w:p>
        </w:tc>
        <w:tc>
          <w:tcPr>
            <w:tcW w:type="dxa" w:w="59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Valor</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Horario de soporte</w:t>
            </w:r>
          </w:p>
        </w:tc>
        <w:tc>
          <w:tcPr>
            <w:tcW w:type="dxa" w:w="5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Lunes a Viernes, 09:00 – 18:00 (hora peninsular española)</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Días no laborables</w:t>
            </w:r>
          </w:p>
        </w:tc>
        <w:tc>
          <w:tcPr>
            <w:tcW w:type="dxa" w:w="5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Sábados, domingos y festivos según calendario laboral de Cataluña</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Ventana de mantenimiento estándar</w:t>
            </w:r>
          </w:p>
        </w:tc>
        <w:tc>
          <w:tcPr>
            <w:tcW w:type="dxa" w:w="5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Sábados 02:00 – 06:00 (cuando sea necesario)</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Preaviso de mantenimiento</w:t>
            </w:r>
          </w:p>
        </w:tc>
        <w:tc>
          <w:tcPr>
            <w:tcW w:type="dxa" w:w="59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Mínimo 48 horas por email</w:t>
            </w:r>
          </w:p>
        </w:tc>
      </w:tr>
    </w:tbl>
    <w:p>
      <w:pPr>
        <w:spacing w:after="120"/>
      </w:pPr>
    </w:p>
    <w:p>
      <w:pPr>
        <w:spacing w:after="120"/>
      </w:pPr>
      <w:r>
        <w:rPr>
          <w:rFonts w:ascii="Calibri" w:cs="Calibri" w:eastAsia="Calibri" w:hAnsi="Calibri"/>
          <w:sz w:val="22"/>
          <w:szCs w:val="22"/>
        </w:rPr>
        <w:t xml:space="preserve">Las incidencias P1 reportadas fuera del horario de servicio se atenderán en la siguiente franja laborable disponible. El tiempo de respuesta empezará a contar desde el inicio de la siguiente jornada laboral.</w:t>
      </w:r>
    </w:p>
    <w:p>
      <w:pPr>
        <w:pStyle w:val="Heading1"/>
      </w:pPr>
      <w:r>
        <w:t xml:space="preserve">6. Exclusiones</w:t>
      </w:r>
    </w:p>
    <w:p>
      <w:pPr>
        <w:spacing w:after="120"/>
      </w:pPr>
      <w:r>
        <w:rPr>
          <w:rFonts w:ascii="Calibri" w:cs="Calibri" w:eastAsia="Calibri" w:hAnsi="Calibri"/>
          <w:sz w:val="22"/>
          <w:szCs w:val="22"/>
        </w:rPr>
        <w:t xml:space="preserve">Los compromisos de nivel de servicio definidos en este documento no aplican en los siguientes supuestos:</w:t>
      </w:r>
    </w:p>
    <w:p>
      <w:pPr>
        <w:pStyle w:val="ListParagraph"/>
        <w:numPr>
          <w:ilvl w:val="0"/>
          <w:numId w:val="2"/>
        </w:numPr>
      </w:pPr>
      <w:r>
        <w:rPr>
          <w:rFonts w:ascii="Calibri" w:cs="Calibri" w:eastAsia="Calibri" w:hAnsi="Calibri"/>
          <w:sz w:val="22"/>
          <w:szCs w:val="22"/>
        </w:rPr>
        <w:t xml:space="preserve">Situaciones de fuerza mayor según la definición de la sección 2.</w:t>
      </w:r>
    </w:p>
    <w:p>
      <w:pPr>
        <w:pStyle w:val="ListParagraph"/>
        <w:numPr>
          <w:ilvl w:val="0"/>
          <w:numId w:val="2"/>
        </w:numPr>
      </w:pPr>
      <w:r>
        <w:rPr>
          <w:rFonts w:ascii="Calibri" w:cs="Calibri" w:eastAsia="Calibri" w:hAnsi="Calibri"/>
          <w:sz w:val="22"/>
          <w:szCs w:val="22"/>
        </w:rPr>
        <w:t xml:space="preserve">Periodos de mantenimiento planificado debidamente comunicados.</w:t>
      </w:r>
    </w:p>
    <w:p>
      <w:pPr>
        <w:pStyle w:val="ListParagraph"/>
        <w:numPr>
          <w:ilvl w:val="0"/>
          <w:numId w:val="2"/>
        </w:numPr>
      </w:pPr>
      <w:r>
        <w:rPr>
          <w:rFonts w:ascii="Calibri" w:cs="Calibri" w:eastAsia="Calibri" w:hAnsi="Calibri"/>
          <w:sz w:val="22"/>
          <w:szCs w:val="22"/>
        </w:rPr>
        <w:t xml:space="preserve">Incidencias causadas por uso indebido, negligencia o modificaciones no autorizadas por parte del cliente.</w:t>
      </w:r>
    </w:p>
    <w:p>
      <w:pPr>
        <w:pStyle w:val="ListParagraph"/>
        <w:numPr>
          <w:ilvl w:val="0"/>
          <w:numId w:val="2"/>
        </w:numPr>
      </w:pPr>
      <w:r>
        <w:rPr>
          <w:rFonts w:ascii="Calibri" w:cs="Calibri" w:eastAsia="Calibri" w:hAnsi="Calibri"/>
          <w:sz w:val="22"/>
          <w:szCs w:val="22"/>
        </w:rPr>
        <w:t xml:space="preserve">Fallos en infraestructuras de terceros fuera del control de OPTIMTECH (Microsoft Azure, Google Cloud Platform, Atlassian).</w:t>
      </w:r>
    </w:p>
    <w:p>
      <w:pPr>
        <w:pStyle w:val="ListParagraph"/>
        <w:numPr>
          <w:ilvl w:val="0"/>
          <w:numId w:val="2"/>
        </w:numPr>
      </w:pPr>
      <w:r>
        <w:rPr>
          <w:rFonts w:ascii="Calibri" w:cs="Calibri" w:eastAsia="Calibri" w:hAnsi="Calibri"/>
          <w:sz w:val="22"/>
          <w:szCs w:val="22"/>
        </w:rPr>
        <w:t xml:space="preserve">Fallos en la conectividad a internet del cliente.</w:t>
      </w:r>
    </w:p>
    <w:p>
      <w:pPr>
        <w:pStyle w:val="ListParagraph"/>
        <w:numPr>
          <w:ilvl w:val="0"/>
          <w:numId w:val="2"/>
        </w:numPr>
      </w:pPr>
      <w:r>
        <w:rPr>
          <w:rFonts w:ascii="Calibri" w:cs="Calibri" w:eastAsia="Calibri" w:hAnsi="Calibri"/>
          <w:sz w:val="22"/>
          <w:szCs w:val="22"/>
        </w:rPr>
        <w:t xml:space="preserve">Funcionalidades o componentes expresamente excluidos del alcance del contrato.</w:t>
      </w:r>
    </w:p>
    <w:p>
      <w:pPr>
        <w:spacing w:after="120"/>
      </w:pPr>
    </w:p>
    <w:p>
      <w:pPr>
        <w:pStyle w:val="Heading1"/>
      </w:pPr>
      <w:r>
        <w:t xml:space="preserve">7. Métricas y Reporting</w:t>
      </w:r>
    </w:p>
    <w:p>
      <w:pPr>
        <w:spacing w:after="120"/>
      </w:pPr>
      <w:r>
        <w:rPr>
          <w:rFonts w:ascii="Calibri" w:cs="Calibri" w:eastAsia="Calibri" w:hAnsi="Calibri"/>
          <w:sz w:val="22"/>
          <w:szCs w:val="22"/>
        </w:rPr>
        <w:t xml:space="preserve">OPTIMTECH elaborará un informe mensual de cumplimiento de SLA que incluirá las siguientes métricas:</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97"/>
      </w:tblGrid>
      <w:tr>
        <w:tc>
          <w:tcPr>
            <w:tcW w:type="dxa" w:w="2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Métrica</w:t>
            </w:r>
          </w:p>
        </w:tc>
        <w:tc>
          <w:tcPr>
            <w:tcW w:type="dxa" w:w="4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Descripción</w:t>
            </w:r>
          </w:p>
        </w:tc>
        <w:tc>
          <w:tcPr>
            <w:tcW w:type="dxa" w:w="2497"/>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Objetivo</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Disponibilidad</w:t>
            </w:r>
          </w:p>
        </w:tc>
        <w:tc>
          <w:tcPr>
            <w:tcW w:type="dxa" w:w="4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Porcentaje de tiempo operativo del servicio</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99,0%</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medio de respuesta</w:t>
            </w:r>
          </w:p>
        </w:tc>
        <w:tc>
          <w:tcPr>
            <w:tcW w:type="dxa" w:w="4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Media de tiempo de primera respuesta por prioridad</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Dentro de SLA</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Tiempo medio de resolución</w:t>
            </w:r>
          </w:p>
        </w:tc>
        <w:tc>
          <w:tcPr>
            <w:tcW w:type="dxa" w:w="4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Media de tiempo de cierre de incidencias por prioridad</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Dentro de SLA</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Nº de incidencias</w:t>
            </w:r>
          </w:p>
        </w:tc>
        <w:tc>
          <w:tcPr>
            <w:tcW w:type="dxa" w:w="4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Total de incidencias abiertas, resueltas y pendientes por prioridad</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Informativo</w:t>
            </w:r>
          </w:p>
        </w:tc>
      </w:tr>
      <w:tr>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Cumplimiento SLA</w:t>
            </w:r>
          </w:p>
        </w:tc>
        <w:tc>
          <w:tcPr>
            <w:tcW w:type="dxa" w:w="4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Porcentaje de incidencias resueltas dentro del SLA</w:t>
            </w:r>
          </w:p>
        </w:tc>
        <w:tc>
          <w:tcPr>
            <w:tcW w:type="dxa" w:w="2497"/>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95%</w:t>
            </w:r>
          </w:p>
        </w:tc>
      </w:tr>
    </w:tbl>
    <w:p>
      <w:pPr>
        <w:spacing w:after="120"/>
      </w:pPr>
    </w:p>
    <w:p>
      <w:pPr>
        <w:spacing w:after="120"/>
      </w:pPr>
      <w:r>
        <w:rPr>
          <w:rFonts w:ascii="Calibri" w:cs="Calibri" w:eastAsia="Calibri" w:hAnsi="Calibri"/>
          <w:sz w:val="22"/>
          <w:szCs w:val="22"/>
        </w:rPr>
        <w:t xml:space="preserve">El informe se entregará al cliente dentro de los primeros 5 días laborables del mes siguiente al periodo reportado.</w:t>
      </w:r>
    </w:p>
    <w:p>
      <w:pPr>
        <w:pStyle w:val="Heading1"/>
      </w:pPr>
      <w:r>
        <w:t xml:space="preserve">8. Penalizaciones y Compensaciones</w:t>
      </w:r>
    </w:p>
    <w:p>
      <w:pPr>
        <w:pStyle w:val="Heading2"/>
      </w:pPr>
      <w:r>
        <w:t xml:space="preserve">8.1. Incumplimiento de disponibilidad</w:t>
      </w:r>
    </w:p>
    <w:p>
      <w:pPr>
        <w:spacing w:after="120"/>
      </w:pPr>
      <w:r>
        <w:rPr>
          <w:rFonts w:ascii="Calibri" w:cs="Calibri" w:eastAsia="Calibri" w:hAnsi="Calibri"/>
          <w:sz w:val="22"/>
          <w:szCs w:val="22"/>
        </w:rPr>
        <w:t xml:space="preserve">En caso de que la disponibilidad mensual del servicio sea inferior al 99,0%, el cliente tendrá derecho a un crédito de servicio conforme a la siguiente tabla:</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4748"/>
        <w:gridCol w:w="4749"/>
      </w:tblGrid>
      <w:tr>
        <w:tc>
          <w:tcPr>
            <w:tcW w:type="dxa" w:w="4748"/>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Disponibilidad mensual</w:t>
            </w:r>
          </w:p>
        </w:tc>
        <w:tc>
          <w:tcPr>
            <w:tcW w:type="dxa" w:w="4749"/>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Crédito sobre facturación mensual</w:t>
            </w:r>
          </w:p>
        </w:tc>
      </w:tr>
      <w:tr>
        <w:tc>
          <w:tcPr>
            <w:tcW w:type="dxa" w:w="474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98,0% – 98,9%</w:t>
            </w:r>
          </w:p>
        </w:tc>
        <w:tc>
          <w:tcPr>
            <w:tcW w:type="dxa" w:w="474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5%</w:t>
            </w:r>
          </w:p>
        </w:tc>
      </w:tr>
      <w:tr>
        <w:tc>
          <w:tcPr>
            <w:tcW w:type="dxa" w:w="474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95,0% – 97,9%</w:t>
            </w:r>
          </w:p>
        </w:tc>
        <w:tc>
          <w:tcPr>
            <w:tcW w:type="dxa" w:w="474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10%</w:t>
            </w:r>
          </w:p>
        </w:tc>
      </w:tr>
      <w:tr>
        <w:tc>
          <w:tcPr>
            <w:tcW w:type="dxa" w:w="474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&lt; 95,0%</w:t>
            </w:r>
          </w:p>
        </w:tc>
        <w:tc>
          <w:tcPr>
            <w:tcW w:type="dxa" w:w="474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15% (máximo aplicable)</w:t>
            </w:r>
          </w:p>
        </w:tc>
      </w:tr>
    </w:tbl>
    <w:p>
      <w:pPr>
        <w:spacing w:after="120"/>
      </w:pPr>
    </w:p>
    <w:p>
      <w:pPr>
        <w:pStyle w:val="Heading2"/>
      </w:pPr>
      <w:r>
        <w:t xml:space="preserve">8.2. Incumplimiento reiterado de tiempos de respuesta</w:t>
      </w:r>
    </w:p>
    <w:p>
      <w:pPr>
        <w:spacing w:after="120"/>
      </w:pPr>
      <w:r>
        <w:rPr>
          <w:rFonts w:ascii="Calibri" w:cs="Calibri" w:eastAsia="Calibri" w:hAnsi="Calibri"/>
          <w:sz w:val="22"/>
          <w:szCs w:val="22"/>
        </w:rPr>
        <w:t xml:space="preserve">Si en un mes natural más del 20% de las incidencias P1 o P2 superan el tiempo de respuesta comprometido, el cliente tendrá derecho a un crédito adicional del 5% sobre la facturación mensual del servicio afectado.</w:t>
      </w:r>
    </w:p>
    <w:p>
      <w:pPr>
        <w:pStyle w:val="Heading2"/>
      </w:pPr>
      <w:r>
        <w:t xml:space="preserve">8.3. Límite de penalizaciones</w:t>
      </w:r>
    </w:p>
    <w:p>
      <w:pPr>
        <w:spacing w:after="120"/>
      </w:pPr>
      <w:r>
        <w:rPr>
          <w:rFonts w:ascii="Calibri" w:cs="Calibri" w:eastAsia="Calibri" w:hAnsi="Calibri"/>
          <w:sz w:val="22"/>
          <w:szCs w:val="22"/>
        </w:rPr>
        <w:t xml:space="preserve">El importe total acumulado de créditos de servicio en un mes natural no superará el 15% de la facturación mensual del servicio afectado. Los créditos se aplicarán en la siguiente factura.</w:t>
      </w:r>
    </w:p>
    <w:p>
      <w:pPr>
        <w:pStyle w:val="Heading2"/>
      </w:pPr>
      <w:r>
        <w:t xml:space="preserve">8.4. Procedimiento de reclamación</w:t>
      </w:r>
    </w:p>
    <w:p>
      <w:pPr>
        <w:spacing w:after="120"/>
      </w:pPr>
      <w:r>
        <w:rPr>
          <w:rFonts w:ascii="Calibri" w:cs="Calibri" w:eastAsia="Calibri" w:hAnsi="Calibri"/>
          <w:sz w:val="22"/>
          <w:szCs w:val="22"/>
        </w:rPr>
        <w:t xml:space="preserve">El cliente deberá solicitar formalmente el crédito de servicio en un plazo máximo de 30 días naturales desde la recepción del informe mensual de SLA. OPTIMTECH resolverá la reclamación en un plazo de 10 días laborables.</w:t>
      </w:r>
    </w:p>
    <w:p>
      <w:pPr>
        <w:pStyle w:val="Heading1"/>
      </w:pPr>
      <w:r>
        <w:t xml:space="preserve">9. Revisión y Vigencia</w:t>
      </w:r>
    </w:p>
    <w:p>
      <w:pPr>
        <w:pStyle w:val="Heading2"/>
      </w:pPr>
      <w:r>
        <w:t xml:space="preserve">9.1. Vigencia</w:t>
      </w:r>
    </w:p>
    <w:p>
      <w:pPr>
        <w:spacing w:after="120"/>
      </w:pPr>
      <w:r>
        <w:rPr>
          <w:rFonts w:ascii="Calibri" w:cs="Calibri" w:eastAsia="Calibri" w:hAnsi="Calibri"/>
          <w:sz w:val="22"/>
          <w:szCs w:val="22"/>
        </w:rPr>
        <w:t xml:space="preserve">El presente acuerdo de nivel de servicio entra en vigor en la fecha de firma y permanece vigente mientras esté en vigor el contrato principal de referencia.</w:t>
      </w:r>
    </w:p>
    <w:p>
      <w:pPr>
        <w:pStyle w:val="Heading2"/>
      </w:pPr>
      <w:r>
        <w:t xml:space="preserve">9.2. Revisión</w:t>
      </w:r>
    </w:p>
    <w:p>
      <w:pPr>
        <w:spacing w:after="120"/>
      </w:pPr>
      <w:r>
        <w:rPr>
          <w:rFonts w:ascii="Calibri" w:cs="Calibri" w:eastAsia="Calibri" w:hAnsi="Calibri"/>
          <w:sz w:val="22"/>
          <w:szCs w:val="22"/>
        </w:rPr>
        <w:t xml:space="preserve">Este documento será revisado:</w:t>
      </w:r>
    </w:p>
    <w:p>
      <w:pPr>
        <w:pStyle w:val="ListParagraph"/>
        <w:numPr>
          <w:ilvl w:val="0"/>
          <w:numId w:val="2"/>
        </w:numPr>
      </w:pPr>
      <w:r>
        <w:rPr>
          <w:rFonts w:ascii="Calibri" w:cs="Calibri" w:eastAsia="Calibri" w:hAnsi="Calibri"/>
          <w:sz w:val="22"/>
          <w:szCs w:val="22"/>
        </w:rPr>
        <w:t xml:space="preserve">De forma ordinaria: anualmente, coincidiendo con la renovación del contrato.</w:t>
      </w:r>
    </w:p>
    <w:p>
      <w:pPr>
        <w:pStyle w:val="ListParagraph"/>
        <w:numPr>
          <w:ilvl w:val="0"/>
          <w:numId w:val="2"/>
        </w:numPr>
      </w:pPr>
      <w:r>
        <w:rPr>
          <w:rFonts w:ascii="Calibri" w:cs="Calibri" w:eastAsia="Calibri" w:hAnsi="Calibri"/>
          <w:sz w:val="22"/>
          <w:szCs w:val="22"/>
        </w:rPr>
        <w:t xml:space="preserve">De forma extraordinaria: ante cambios significativos en el servicio, la infraestructura o los requisitos del cliente.</w:t>
      </w:r>
    </w:p>
    <w:p>
      <w:pPr>
        <w:spacing w:after="120"/>
      </w:pPr>
    </w:p>
    <w:p>
      <w:pPr>
        <w:pStyle w:val="Heading2"/>
      </w:pPr>
      <w:r>
        <w:t xml:space="preserve">9.3. Modificaciones</w:t>
      </w:r>
    </w:p>
    <w:p>
      <w:pPr>
        <w:spacing w:after="120"/>
      </w:pPr>
      <w:r>
        <w:rPr>
          <w:rFonts w:ascii="Calibri" w:cs="Calibri" w:eastAsia="Calibri" w:hAnsi="Calibri"/>
          <w:sz w:val="22"/>
          <w:szCs w:val="22"/>
        </w:rPr>
        <w:t xml:space="preserve">Cualquier modificación de los niveles de servicio requerirá acuerdo por escrito de ambas partes y se formalizará como adenda al presente documento.</w:t>
      </w:r>
    </w:p>
    <w:p>
      <w:pPr>
        <w:pStyle w:val="Heading1"/>
      </w:pPr>
      <w:r>
        <w:t xml:space="preserve">10. Firmas</w:t>
      </w:r>
    </w:p>
    <w:p>
      <w:pPr>
        <w:spacing w:after="120"/>
      </w:pPr>
      <w:r>
        <w:rPr>
          <w:rFonts w:ascii="Calibri" w:cs="Calibri" w:eastAsia="Calibri" w:hAnsi="Calibri"/>
          <w:sz w:val="22"/>
          <w:szCs w:val="22"/>
        </w:rPr>
        <w:t xml:space="preserve">En prueba de conformidad, las partes firman el presente Acuerdo de Nivel de Servicio:</w:t>
      </w:r>
    </w:p>
    <w:p>
      <w:pPr>
        <w:spacing w:before="600"/>
      </w:pP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500"/>
        <w:gridCol w:w="3998"/>
        <w:gridCol w:w="3999"/>
      </w:tblGrid>
      <w:tr>
        <w:tc>
          <w:tcPr>
            <w:tcW w:type="dxa" w:w="1500"/>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
            </w:r>
          </w:p>
        </w:tc>
        <w:tc>
          <w:tcPr>
            <w:tcW w:type="dxa" w:w="3998"/>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OPTIMTECH</w:t>
            </w:r>
          </w:p>
        </w:tc>
        <w:tc>
          <w:tcPr>
            <w:tcW w:type="dxa" w:w="3999"/>
            <w:tcBorders>
              <w:top w:val="single" w:color="D9D9D9" w:sz="1"/>
              <w:left w:val="single" w:color="D9D9D9" w:sz="1"/>
              <w:bottom w:val="single" w:color="D9D9D9" w:sz="1"/>
              <w:right w:val="single" w:color="D9D9D9" w:sz="1"/>
            </w:tcBorders>
            <w:shd w:fill="F1FDF9" w:val="clear"/>
            <w:tcMar>
              <w:top w:type="dxa" w:w="80"/>
              <w:left w:type="dxa" w:w="120"/>
              <w:bottom w:type="dxa" w:w="80"/>
              <w:right w:type="dxa" w:w="120"/>
            </w:tcMar>
          </w:tcPr>
          <w:p>
            <w:pPr>
              <w:jc w:val="center"/>
            </w:pPr>
            <w:r>
              <w:rPr>
                <w:rFonts w:ascii="Calibri" w:cs="Calibri" w:eastAsia="Calibri" w:hAnsi="Calibri"/>
                <w:b/>
                <w:bCs/>
                <w:sz w:val="22"/>
                <w:szCs w:val="22"/>
              </w:rPr>
              <w:t xml:space="preserve">CLIENTE</w:t>
            </w:r>
          </w:p>
        </w:tc>
      </w:tr>
      <w:tr>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Nombre</w:t>
            </w:r>
          </w:p>
        </w:tc>
        <w:tc>
          <w:tcPr>
            <w:tcW w:type="dxa" w:w="399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c>
          <w:tcPr>
            <w:tcW w:type="dxa" w:w="399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[NOMBRE]</w:t>
            </w:r>
          </w:p>
        </w:tc>
      </w:tr>
      <w:tr>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Cargo</w:t>
            </w:r>
          </w:p>
        </w:tc>
        <w:tc>
          <w:tcPr>
            <w:tcW w:type="dxa" w:w="399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c>
          <w:tcPr>
            <w:tcW w:type="dxa" w:w="399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[CARGO]</w:t>
            </w:r>
          </w:p>
        </w:tc>
      </w:tr>
      <w:tr>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Fecha</w:t>
            </w:r>
          </w:p>
        </w:tc>
        <w:tc>
          <w:tcPr>
            <w:tcW w:type="dxa" w:w="399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c>
          <w:tcPr>
            <w:tcW w:type="dxa" w:w="399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r>
      <w:tr>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Firma</w:t>
            </w:r>
          </w:p>
        </w:tc>
        <w:tc>
          <w:tcPr>
            <w:tcW w:type="dxa" w:w="3998"/>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c>
          <w:tcPr>
            <w:tcW w:type="dxa" w:w="3999"/>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sz w:val="22"/>
                <w:szCs w:val="22"/>
              </w:rPr>
              <w:t xml:space="preserve"/>
            </w:r>
          </w:p>
        </w:tc>
      </w:tr>
    </w:tbl>
    <w:sectPr>
      <w:headerReference w:type="default" r:id="rId8"/>
      <w:footerReference w:type="default" r:id="rId9"/>
      <w:pgSz w:w="11900" w:h="16840" w:orient="portrait"/>
      <w:pgMar w:top="1985" w:right="1127" w:bottom="1276" w:left="1276" w:header="708" w:footer="5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lqb3cqpasm6zsehisslx0">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lqb3cqpasm6zsehisslx0">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575"/>
      <w:gridCol w:w="2873"/>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Acuerdo de Nivel de Servicio</w:t>
          </w:r>
        </w:p>
      </w:tc>
      <w:tc>
        <w:tcPr>
          <w:tcW w:type="dxa" w:w="2873"/>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I06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885825" cy="361950"/>
                <wp:effectExtent t="0" r="0" b="0" l="0"/>
                <wp:docPr id="1" name="logo" descr="Logo de OPTIMTECH"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3619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575"/>
      <w:gridCol w:w="2873"/>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Acuerdo de Nivel de Servicio</w:t>
          </w:r>
        </w:p>
      </w:tc>
      <w:tc>
        <w:tcPr>
          <w:tcW w:type="dxa" w:w="2873"/>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I06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885825" cy="361950"/>
                <wp:effectExtent t="0" r="0" b="0" l="0"/>
                <wp:docPr id="1" name="logo" descr="Logo de OPTIMTECH"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3619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D9A76"/>
      <w:sz w:val="32"/>
      <w:szCs w:val="32"/>
    </w:rPr>
  </w:style>
  <w:style w:type="paragraph" w:styleId="Heading2">
    <w:name w:val="Heading 2"/>
    <w:basedOn w:val="Normal"/>
    <w:next w:val="Normal"/>
    <w:qFormat/>
    <w:pPr>
      <w:spacing w:before="200" w:after="100"/>
      <w:outlineLvl w:val="1"/>
    </w:pPr>
    <w:rPr>
      <w:rFonts w:ascii="Calibri" w:cs="Calibri" w:eastAsia="Calibri" w:hAnsi="Calibri"/>
      <w:color w:val="0D9A76"/>
      <w:sz w:val="26"/>
      <w:szCs w:val="26"/>
    </w:rPr>
  </w:style>
  <w:style w:type="paragraph" w:styleId="Heading3">
    <w:name w:val="Heading 3"/>
    <w:basedOn w:val="Normal"/>
    <w:next w:val="Normal"/>
    <w:qFormat/>
    <w:pPr>
      <w:spacing w:before="160" w:after="80"/>
      <w:outlineLvl w:val="2"/>
    </w:pPr>
    <w:rPr>
      <w:rFonts w:ascii="Calibri" w:cs="Calibri" w:eastAsia="Calibri" w:hAnsi="Calibri"/>
      <w:color w:val="0D9A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513facbae0a806444d7b95f595ae94c64a27ba4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lqb3cqpasm6zsehisslx0" Type="http://schemas.openxmlformats.org/officeDocument/2006/relationships/hyperlink" Target="https://www.optimtech.com" TargetMode="External"/></Relationships>
</file>

<file path=word/_rels/footer2.xml.rels><?xml version="1.0" encoding="UTF-8"?><Relationships xmlns="http://schemas.openxmlformats.org/package/2006/relationships"><Relationship Id="rIdlqb3cqpasm6zsehisslx0" Type="http://schemas.openxmlformats.org/officeDocument/2006/relationships/hyperlink" Target="https://www.optimtech.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3facbae0a806444d7b95f595ae94c64a27ba45.png"/></Relationships>
</file>

<file path=word/_rels/header2.xml.rels><?xml version="1.0" encoding="UTF-8"?><Relationships xmlns="http://schemas.openxmlformats.org/package/2006/relationships"><Relationship Id="rId0" Type="http://schemas.openxmlformats.org/officeDocument/2006/relationships/image" Target="media/513facbae0a806444d7b95f595ae94c64a27ba4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2026-03-08T15:29:05.206Z</dcterms:created>
  <dcterms:modified xsi:type="dcterms:W3CDTF">2026-03-08T15:29:05.211Z</dcterms:modified>
</cp:coreProperties>
</file>

<file path=docProps/custom.xml><?xml version="1.0" encoding="utf-8"?>
<Properties xmlns="http://schemas.openxmlformats.org/officeDocument/2006/custom-properties" xmlns:vt="http://schemas.openxmlformats.org/officeDocument/2006/docPropsVTypes"/>
</file>