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drawing>
          <wp:inline distT="0" distB="0" distL="0" distR="0">
            <wp:extent cx="2143125" cy="885825"/>
            <wp:effectExtent t="0" r="0" b="0" l="0"/>
            <wp:docPr id="1" name="logo_cover" descr="Logo OPTIMTECH" title="OPTIM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43125" cy="885825"/>
                    </a:xfrm>
                    <a:prstGeom prst="rect">
                      <a:avLst/>
                    </a:prstGeom>
                  </pic:spPr>
                </pic:pic>
              </a:graphicData>
            </a:graphic>
          </wp:inline>
        </w:drawing>
      </w:r>
    </w:p>
    <w:p>
      <w:pPr>
        <w:spacing w:before="600"/>
      </w:pPr>
    </w:p>
    <w:p>
      <w:pPr>
        <w:jc w:val="center"/>
      </w:pPr>
      <w:r>
        <w:rPr>
          <w:rFonts w:ascii="Calibri" w:cs="Calibri" w:eastAsia="Calibri" w:hAnsi="Calibri"/>
          <w:color w:val="808080"/>
          <w:sz w:val="160"/>
          <w:szCs w:val="160"/>
        </w:rPr>
        <w:t xml:space="preserve">Calendario</w:t>
      </w:r>
    </w:p>
    <w:p>
      <w:pPr>
        <w:jc w:val="center"/>
      </w:pPr>
      <w:r>
        <w:rPr>
          <w:rFonts w:ascii="Calibri" w:cs="Calibri" w:eastAsia="Calibri" w:hAnsi="Calibri"/>
          <w:color w:val="808080"/>
          <w:sz w:val="160"/>
          <w:szCs w:val="160"/>
        </w:rPr>
        <w:t xml:space="preserve">ENS 2026</w:t>
      </w:r>
    </w:p>
    <w:p>
      <w:pPr>
        <w:spacing w:before="600"/>
      </w:pPr>
    </w:p>
    <w:p>
      <w:pPr>
        <w:jc w:val="center"/>
      </w:pPr>
      <w:r>
        <w:rPr>
          <w:rFonts w:ascii="Calibri" w:cs="Calibri" w:eastAsia="Calibri" w:hAnsi="Calibri"/>
          <w:color w:val="0D9A76"/>
          <w:sz w:val="28"/>
          <w:szCs w:val="28"/>
        </w:rPr>
        <w:t xml:space="preserve">Calendario de Cumplimiento del Esquema Nacional de Seguridad</w:t>
      </w:r>
    </w:p>
    <w:p>
      <w:pPr>
        <w:spacing w:before="200"/>
        <w:jc w:val="center"/>
      </w:pPr>
      <w:r>
        <w:rPr>
          <w:rFonts w:ascii="Calibri" w:cs="Calibri" w:eastAsia="Calibri" w:hAnsi="Calibri"/>
          <w:color w:val="808080"/>
          <w:sz w:val="24"/>
          <w:szCs w:val="24"/>
        </w:rPr>
        <w:t xml:space="preserve">Ejercicio 2026</w:t>
      </w:r>
    </w:p>
    <w:p>
      <w:r>
        <w:br w:type="page"/>
      </w:r>
    </w:p>
    <w:p>
      <w:pPr>
        <w:sectPr>
          <w:headerReference w:type="default" r:id="rId6"/>
          <w:footerReference w:type="default" r:id="rId7"/>
          <w:pgSz w:w="11900" w:h="16840" w:orient="portrait"/>
          <w:pgMar w:top="1985" w:right="1127" w:bottom="1276" w:left="1276" w:header="708" w:footer="548" w:gutter="0"/>
          <w:pgNumType/>
          <w:docGrid w:linePitch="360"/>
        </w:sectPr>
      </w:pPr>
    </w:p>
    <w:p>
      <w:pPr>
        <w:pStyle w:val="Heading1"/>
      </w:pPr>
      <w:r>
        <w:t xml:space="preserve">Control Documental</w:t>
      </w:r>
    </w:p>
    <w:tbl>
      <w:tblPr>
        <w:tblW w:type="dxa" w:w="9487"/>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487"/>
        <w:gridCol w:w="2000"/>
      </w:tblGrid>
      <w:tr>
        <w:tc>
          <w:tcPr>
            <w:tcW w:type="dxa" w:w="1800"/>
            <w:tcBorders>
              <w:top w:val="single" w:color="D9D9D9" w:sz="4"/>
              <w:left w:val="single" w:color="D9D9D9" w:sz="4"/>
              <w:bottom w:val="single" w:color="D9D9D9" w:sz="4"/>
              <w:right w:val="single" w:color="D9D9D9" w:sz="4"/>
            </w:tcBorders>
            <w:shd w:fill="D1FBF0" w:val="clear"/>
          </w:tcPr>
          <w:p>
            <w:pPr>
              <w:spacing w:before="60" w:after="60"/>
              <w:jc w:val="center"/>
            </w:pPr>
            <w:r>
              <w:rPr>
                <w:rFonts w:ascii="Calibri" w:cs="Calibri" w:eastAsia="Calibri" w:hAnsi="Calibri"/>
                <w:b/>
                <w:bCs/>
                <w:sz w:val="22"/>
                <w:szCs w:val="22"/>
              </w:rPr>
              <w:t xml:space="preserve">Fecha</w:t>
            </w:r>
          </w:p>
        </w:tc>
        <w:tc>
          <w:tcPr>
            <w:tcW w:type="dxa" w:w="1200"/>
            <w:tcBorders>
              <w:top w:val="single" w:color="D9D9D9" w:sz="4"/>
              <w:left w:val="single" w:color="D9D9D9" w:sz="4"/>
              <w:bottom w:val="single" w:color="D9D9D9" w:sz="4"/>
              <w:right w:val="single" w:color="D9D9D9" w:sz="4"/>
            </w:tcBorders>
            <w:shd w:fill="D1FBF0" w:val="clear"/>
          </w:tcPr>
          <w:p>
            <w:pPr>
              <w:spacing w:before="60" w:after="60"/>
              <w:jc w:val="center"/>
            </w:pPr>
            <w:r>
              <w:rPr>
                <w:rFonts w:ascii="Calibri" w:cs="Calibri" w:eastAsia="Calibri" w:hAnsi="Calibri"/>
                <w:b/>
                <w:bCs/>
                <w:sz w:val="22"/>
                <w:szCs w:val="22"/>
              </w:rPr>
              <w:t xml:space="preserve">Versión</w:t>
            </w:r>
          </w:p>
        </w:tc>
        <w:tc>
          <w:tcPr>
            <w:tcW w:type="dxa" w:w="4487"/>
            <w:tcBorders>
              <w:top w:val="single" w:color="D9D9D9" w:sz="4"/>
              <w:left w:val="single" w:color="D9D9D9" w:sz="4"/>
              <w:bottom w:val="single" w:color="D9D9D9" w:sz="4"/>
              <w:right w:val="single" w:color="D9D9D9" w:sz="4"/>
            </w:tcBorders>
            <w:shd w:fill="D1FBF0" w:val="clear"/>
          </w:tcPr>
          <w:p>
            <w:pPr>
              <w:spacing w:before="60" w:after="60"/>
              <w:jc w:val="center"/>
            </w:pPr>
            <w:r>
              <w:rPr>
                <w:rFonts w:ascii="Calibri" w:cs="Calibri" w:eastAsia="Calibri" w:hAnsi="Calibri"/>
                <w:b/>
                <w:bCs/>
                <w:sz w:val="22"/>
                <w:szCs w:val="22"/>
              </w:rPr>
              <w:t xml:space="preserve">Modificaciones</w:t>
            </w:r>
          </w:p>
        </w:tc>
        <w:tc>
          <w:tcPr>
            <w:tcW w:type="dxa" w:w="2000"/>
            <w:tcBorders>
              <w:top w:val="single" w:color="D9D9D9" w:sz="4"/>
              <w:left w:val="single" w:color="D9D9D9" w:sz="4"/>
              <w:bottom w:val="single" w:color="D9D9D9" w:sz="4"/>
              <w:right w:val="single" w:color="D9D9D9" w:sz="4"/>
            </w:tcBorders>
            <w:shd w:fill="D1FBF0" w:val="clear"/>
          </w:tcPr>
          <w:p>
            <w:pPr>
              <w:spacing w:before="60" w:after="60"/>
              <w:jc w:val="center"/>
            </w:pPr>
            <w:r>
              <w:rPr>
                <w:rFonts w:ascii="Calibri" w:cs="Calibri" w:eastAsia="Calibri" w:hAnsi="Calibri"/>
                <w:b/>
                <w:bCs/>
                <w:sz w:val="22"/>
                <w:szCs w:val="22"/>
              </w:rPr>
              <w:t xml:space="preserve">Autor</w:t>
            </w:r>
          </w:p>
        </w:tc>
      </w:tr>
      <w:tr>
        <w:tc>
          <w:tcPr>
            <w:tcW w:type="dxa" w:w="1800"/>
            <w:tcBorders>
              <w:top w:val="single" w:color="D9D9D9" w:sz="4"/>
              <w:left w:val="single" w:color="D9D9D9" w:sz="4"/>
              <w:bottom w:val="single" w:color="D9D9D9" w:sz="4"/>
              <w:right w:val="single" w:color="D9D9D9" w:sz="4"/>
            </w:tcBorders>
          </w:tcPr>
          <w:p>
            <w:pPr>
              <w:spacing w:before="60" w:after="60"/>
              <w:jc w:val="center"/>
            </w:pPr>
            <w:r>
              <w:rPr>
                <w:rFonts w:ascii="Calibri" w:cs="Calibri" w:eastAsia="Calibri" w:hAnsi="Calibri"/>
                <w:sz w:val="22"/>
                <w:szCs w:val="22"/>
              </w:rPr>
              <w:t xml:space="preserve">07/03/2026</w:t>
            </w:r>
          </w:p>
        </w:tc>
        <w:tc>
          <w:tcPr>
            <w:tcW w:type="dxa" w:w="1200"/>
            <w:tcBorders>
              <w:top w:val="single" w:color="D9D9D9" w:sz="4"/>
              <w:left w:val="single" w:color="D9D9D9" w:sz="4"/>
              <w:bottom w:val="single" w:color="D9D9D9" w:sz="4"/>
              <w:right w:val="single" w:color="D9D9D9" w:sz="4"/>
            </w:tcBorders>
          </w:tcPr>
          <w:p>
            <w:pPr>
              <w:spacing w:before="60" w:after="60"/>
              <w:jc w:val="center"/>
            </w:pPr>
            <w:r>
              <w:rPr>
                <w:rFonts w:ascii="Calibri" w:cs="Calibri" w:eastAsia="Calibri" w:hAnsi="Calibri"/>
                <w:sz w:val="22"/>
                <w:szCs w:val="22"/>
              </w:rPr>
              <w:t xml:space="preserve">1.0</w:t>
            </w:r>
          </w:p>
        </w:tc>
        <w:tc>
          <w:tcPr>
            <w:tcW w:type="dxa" w:w="4487"/>
            <w:tcBorders>
              <w:top w:val="single" w:color="D9D9D9" w:sz="4"/>
              <w:left w:val="single" w:color="D9D9D9" w:sz="4"/>
              <w:bottom w:val="single" w:color="D9D9D9" w:sz="4"/>
              <w:right w:val="single" w:color="D9D9D9" w:sz="4"/>
            </w:tcBorders>
          </w:tcPr>
          <w:p>
            <w:pPr>
              <w:spacing w:before="60" w:after="60"/>
              <w:jc w:val="center"/>
            </w:pPr>
            <w:r>
              <w:rPr>
                <w:rFonts w:ascii="Calibri" w:cs="Calibri" w:eastAsia="Calibri" w:hAnsi="Calibri"/>
                <w:sz w:val="22"/>
                <w:szCs w:val="22"/>
              </w:rPr>
              <w:t xml:space="preserve">Versión inicial del calendario ENS 2026</w:t>
            </w:r>
          </w:p>
        </w:tc>
        <w:tc>
          <w:tcPr>
            <w:tcW w:type="dxa" w:w="2000"/>
            <w:tcBorders>
              <w:top w:val="single" w:color="D9D9D9" w:sz="4"/>
              <w:left w:val="single" w:color="D9D9D9" w:sz="4"/>
              <w:bottom w:val="single" w:color="D9D9D9" w:sz="4"/>
              <w:right w:val="single" w:color="D9D9D9" w:sz="4"/>
            </w:tcBorders>
          </w:tcPr>
          <w:p>
            <w:pPr>
              <w:spacing w:before="60" w:after="60"/>
              <w:jc w:val="center"/>
            </w:pPr>
            <w:r>
              <w:rPr>
                <w:rFonts w:ascii="Calibri" w:cs="Calibri" w:eastAsia="Calibri" w:hAnsi="Calibri"/>
                <w:sz w:val="22"/>
                <w:szCs w:val="22"/>
              </w:rPr>
              <w:t xml:space="preserve">Resp. Seguridad</w:t>
            </w:r>
          </w:p>
        </w:tc>
      </w:tr>
    </w:tbl>
    <w:p>
      <w:pPr>
        <w:pStyle w:val="Heading1"/>
      </w:pPr>
      <w:r>
        <w:t xml:space="preserve">1. Objeto</w:t>
      </w:r>
    </w:p>
    <w:p>
      <w:pPr>
        <w:spacing w:after="120"/>
      </w:pPr>
      <w:r>
        <w:rPr>
          <w:rFonts w:ascii="Calibri" w:cs="Calibri" w:eastAsia="Calibri" w:hAnsi="Calibri"/>
          <w:sz w:val="22"/>
          <w:szCs w:val="22"/>
        </w:rPr>
        <w:t xml:space="preserve">El presente documento establece el calendario de cumplimiento ENS para el ejercicio 2026 de OPTIMTECH (Optim AI Improvement s.l.). Centraliza todas las obligaciones periódicas derivadas del Sistema de Gestión de Seguridad de la Información (SGSI), desde las reuniones semestrales del Comité de Seguridad hasta las tareas operativas de monitorización y backup.</w:t>
      </w:r>
    </w:p>
    <w:p>
      <w:pPr>
        <w:spacing w:after="120"/>
      </w:pPr>
      <w:r>
        <w:rPr>
          <w:rFonts w:ascii="Calibri" w:cs="Calibri" w:eastAsia="Calibri" w:hAnsi="Calibri"/>
          <w:b/>
          <w:bCs/>
          <w:sz w:val="22"/>
          <w:szCs w:val="22"/>
        </w:rPr>
        <w:t xml:space="preserve">Parámetros clave del ejercicio 2026:</w:t>
      </w:r>
    </w:p>
    <w:p>
      <w:pPr>
        <w:pStyle w:val="ListParagraph"/>
        <w:numPr>
          <w:ilvl w:val="0"/>
          <w:numId w:val="2"/>
        </w:numPr>
        <w:spacing w:after="60"/>
      </w:pPr>
      <w:r>
        <w:rPr>
          <w:rFonts w:ascii="Calibri" w:cs="Calibri" w:eastAsia="Calibri" w:hAnsi="Calibri"/>
          <w:sz w:val="22"/>
          <w:szCs w:val="22"/>
        </w:rPr>
        <w:t xml:space="preserve">Comité de Seguridad: marzo y septiembre 2026</w:t>
      </w:r>
    </w:p>
    <w:p>
      <w:pPr>
        <w:pStyle w:val="ListParagraph"/>
        <w:numPr>
          <w:ilvl w:val="0"/>
          <w:numId w:val="2"/>
        </w:numPr>
        <w:spacing w:after="60"/>
      </w:pPr>
      <w:r>
        <w:rPr>
          <w:rFonts w:ascii="Calibri" w:cs="Calibri" w:eastAsia="Calibri" w:hAnsi="Calibri"/>
          <w:sz w:val="22"/>
          <w:szCs w:val="22"/>
        </w:rPr>
        <w:t xml:space="preserve">Auditoría interna: noviembre 2026</w:t>
      </w:r>
    </w:p>
    <w:p>
      <w:pPr>
        <w:pStyle w:val="ListParagraph"/>
        <w:numPr>
          <w:ilvl w:val="0"/>
          <w:numId w:val="2"/>
        </w:numPr>
        <w:spacing w:after="120"/>
      </w:pPr>
      <w:r>
        <w:rPr>
          <w:rFonts w:ascii="Calibri" w:cs="Calibri" w:eastAsia="Calibri" w:hAnsi="Calibri"/>
          <w:sz w:val="22"/>
          <w:szCs w:val="22"/>
        </w:rPr>
        <w:t xml:space="preserve">Sin auditoría externa prevista en 2026</w:t>
      </w:r>
    </w:p>
    <w:p>
      <w:pPr>
        <w:pStyle w:val="Heading1"/>
      </w:pPr>
      <w:r>
        <w:t xml:space="preserve">2. Alcance</w:t>
      </w:r>
    </w:p>
    <w:p>
      <w:pPr>
        <w:spacing w:after="120"/>
      </w:pPr>
      <w:r>
        <w:rPr>
          <w:rFonts w:ascii="Calibri" w:cs="Calibri" w:eastAsia="Calibri" w:hAnsi="Calibri"/>
          <w:sz w:val="22"/>
          <w:szCs w:val="22"/>
        </w:rPr>
        <w:t xml:space="preserve">Este calendario cubre todas las obligaciones periódicas identificadas en la documentación del SGSI: políticas (D01-D03, D10), procedimientos (P01-P05), registros (D04-D13), plan de concienciación, plan de auditoría y roadmap de formación técnica.</w:t>
      </w:r>
    </w:p>
    <w:p>
      <w:r>
        <w:br w:type="page"/>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3. Calendario mensual</w:t>
      </w:r>
    </w:p>
    <w:p>
      <w:pPr>
        <w:pStyle w:val="Heading2"/>
      </w:pPr>
      <w:r>
        <w:t xml:space="preserve">Enero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Enero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Circular interna de seguridad #1</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Resp. 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Ejecución y verificación de backups SaaS</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D03 §6.2</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Supervisión de backups y detección de fallos</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§6.2</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Monitorización de eventos de seguridad</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P05</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Q1</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Azure Fundamentals (AZ-900) — inicio</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CTO</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Q1</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Google IT Support (módulos 1-2) — inicio</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CTO</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Q1</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ITIL v4 Foundation — inicio</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CTO</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bl>
    <w:p>
      <w:pPr>
        <w:spacing w:after="200"/>
      </w:pPr>
    </w:p>
    <w:p>
      <w:pPr>
        <w:pStyle w:val="Heading2"/>
      </w:pPr>
      <w:r>
        <w:t xml:space="preserve">Febrero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Febrero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Revisión Política de Seguridad (D01)</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Comité 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D01</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Ejecución y verificación de backups SaaS</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D03 §6.2</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Supervisión de backups y detección de fallos</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§6.2</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Monitorización de eventos de seguridad</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P05</w:t>
            </w:r>
          </w:p>
        </w:tc>
      </w:tr>
    </w:tbl>
    <w:p>
      <w:pPr>
        <w:spacing w:after="200"/>
      </w:pPr>
    </w:p>
    <w:p>
      <w:pPr>
        <w:pStyle w:val="Heading2"/>
      </w:pPr>
      <w:r>
        <w:t xml:space="preserve">Marzo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Marzo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COMITÉ DE SEGURIDAD #1</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Resp. Seguridad (convoca)</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D01, Acta Comité</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Marzo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Revisión de logs de acceso Q1</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D03 §5</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Marzo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Revisión mejora continua Q1</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Resp. 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D09</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Marzo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Micro-formación online #1 (15 min)</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RRHH/Seguridad</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Marzo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ITIL v4 — examen</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CTO</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pPr>
        <w:pStyle w:val="Heading2"/>
      </w:pPr>
      <w:r>
        <w:t xml:space="preserve">Abril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Abril</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Sesión de concienciación en seguridad (1h)</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RRHH/Seguridad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Abril</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Análisis y evaluación de riesgos — inicio</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Resp. Seguridad + Propietarios</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P01, D06</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Abril</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Azure Administrator (AZ-104) — inicio</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CTO</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pPr>
        <w:pStyle w:val="Heading2"/>
      </w:pPr>
      <w:r>
        <w:t xml:space="preserve">Mayo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Mayo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Circular interna de seguridad #2</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Resp. 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Mayo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Análisis y evaluación de riesgos — continuación</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Resp. Seguridad + Propietarios</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P01, D06</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Mayo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de tratamiento de riesgos — inicio</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Comité 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P01</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pPr>
        <w:pStyle w:val="Heading2"/>
      </w:pPr>
      <w:r>
        <w:t xml:space="preserve">Junio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Junio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Revisión anual derechos de acceso</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 + Resp. Área</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P04 §7.4</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Junio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Limpieza de cuentas inactivas</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P04 §7.4</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Junio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Revisión de logs de acceso Q2</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§5</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Junio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Revisión mejora continua Q2</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Resp. Seguridad</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D09</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Junio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de tratamiento de riesgos — finalización</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Comité 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P01</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Junio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Azure Administrator (AZ-104) — certificación</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CTO</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pPr>
        <w:pStyle w:val="Heading2"/>
      </w:pPr>
      <w:r>
        <w:t xml:space="preserve">Julio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Julio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Simulacro de incidente de seguridad</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Resp. 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Julio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Azure Security (AZ-500) — inicio</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CTO</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pPr>
        <w:pStyle w:val="Heading2"/>
      </w:pPr>
      <w:r>
        <w:t xml:space="preserve">Agosto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 (mínima actividad)</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pPr>
        <w:pStyle w:val="Heading2"/>
      </w:pPr>
      <w:r>
        <w:t xml:space="preserve">Septiembre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Septiembre</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COMITÉ DE SEGURIDAD #2</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Resp. Seguridad (convoca)</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D01, Acta Comité</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Septiembre</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Circular interna de seguridad #3</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Resp. Seguridad</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Septiembre</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Revisión del Plan de Concienciación</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Comité 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Septiembre</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Micro-formación online #2 (15 min)</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RRHH/Seguridad</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Septiembre</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Revisión de logs de acceso Q3</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§5</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Septiembre</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Revisión mejora continua Q3</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Resp. Seguridad</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D09</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Septiembre</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Azure Security (AZ-500) — certificación</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CTO</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pPr>
        <w:pStyle w:val="Heading2"/>
      </w:pPr>
      <w:r>
        <w:t xml:space="preserve">Octubre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Octubre</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Revisión política protección de datos (D10)</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DPO</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D10 §8.2</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Octubre</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Actualización del RAT (D11)</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DPO</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D10, D11</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Octubre</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Revisión marco normativo aplicable (D13)</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Resp. Seguridad</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D13</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Octubre</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Solutions Architect (AZ-305) — inicio</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CTO</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Plan conscienciación</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pPr>
        <w:pStyle w:val="Heading2"/>
      </w:pPr>
      <w:r>
        <w:t xml:space="preserve">Noviembre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Noviembre</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AUDITORÍA INTERNA ENS</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Auditor Interno (DPT05)</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bCs/>
                <w:sz w:val="20"/>
                <w:szCs w:val="20"/>
              </w:rPr>
              <w:t xml:space="preserve">Plan auditoría</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Noviembre</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Preparación de evidencias</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Resp. Seguridad + Equipo TIC</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Plan auditoría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pPr>
        <w:pStyle w:val="Heading2"/>
      </w:pPr>
      <w:r>
        <w:t xml:space="preserve">Diciembre 2026</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097"/>
        <w:gridCol w:w="2200"/>
      </w:tblGrid>
      <w:tr>
        <w:tc>
          <w:tcPr>
            <w:tcW w:type="dxa" w:w="14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Fecha</w:t>
            </w:r>
          </w:p>
        </w:tc>
        <w:tc>
          <w:tcPr>
            <w:tcW w:type="dxa" w:w="28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Tarea</w:t>
            </w:r>
          </w:p>
        </w:tc>
        <w:tc>
          <w:tcPr>
            <w:tcW w:type="dxa" w:w="3097"/>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Responsable</w:t>
            </w:r>
          </w:p>
        </w:tc>
        <w:tc>
          <w:tcPr>
            <w:tcW w:type="dxa" w:w="2200"/>
            <w:tcBorders>
              <w:top w:val="single" w:color="D9D9D9" w:sz="1"/>
              <w:left w:val="single" w:color="D9D9D9" w:sz="1"/>
              <w:bottom w:val="single" w:color="D9D9D9" w:sz="1"/>
              <w:right w:val="single" w:color="D9D9D9" w:sz="1"/>
            </w:tcBorders>
            <w:shd w:fill="D1FBF0" w:val="clear"/>
            <w:tcMar>
              <w:top w:type="dxa" w:w="60"/>
              <w:left w:type="dxa" w:w="80"/>
              <w:bottom w:type="dxa" w:w="60"/>
              <w:right w:type="dxa" w:w="80"/>
            </w:tcMar>
          </w:tcPr>
          <w:p>
            <w:pPr>
              <w:jc w:val="center"/>
            </w:pPr>
            <w:r>
              <w:rPr>
                <w:rFonts w:ascii="Calibri" w:cs="Calibri" w:eastAsia="Calibri" w:hAnsi="Calibri"/>
                <w:b/>
                <w:bCs/>
                <w:sz w:val="22"/>
                <w:szCs w:val="22"/>
              </w:rPr>
              <w:t xml:space="preserve">Doc. referencia</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Diciembre</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Informe de auditoría y acciones correctivas</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Auditor Interno + Comité</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Plan auditoría</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Diciembre</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Revisión cumplimiento legal (ENS, RGPD, LSSI-CE)</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Comité Seguridad</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D10, D13</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Diciembre</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Revisión de logs de acceso Q4</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§5</w:t>
            </w:r>
          </w:p>
        </w:tc>
      </w:tr>
      <w:tr>
        <w:tc>
          <w:tcPr>
            <w:tcW w:type="dxa" w:w="14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Diciembre</w:t>
            </w:r>
          </w:p>
        </w:tc>
        <w:tc>
          <w:tcPr>
            <w:tcW w:type="dxa" w:w="28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Revisión mejora continua Q4</w:t>
            </w:r>
          </w:p>
        </w:tc>
        <w:tc>
          <w:tcPr>
            <w:tcW w:type="dxa" w:w="3097"/>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Resp. Seguridad</w:t>
            </w:r>
          </w:p>
        </w:tc>
        <w:tc>
          <w:tcPr>
            <w:tcW w:type="dxa" w:w="2200"/>
            <w:tcBorders>
              <w:top w:val="single" w:color="D9D9D9" w:sz="1"/>
              <w:left w:val="single" w:color="D9D9D9" w:sz="1"/>
              <w:bottom w:val="single" w:color="D9D9D9" w:sz="1"/>
              <w:right w:val="single" w:color="D9D9D9" w:sz="1"/>
            </w:tcBorders>
            <w:shd w:fill="F5F5F5" w:val="clear"/>
            <w:tcMar>
              <w:top w:type="dxa" w:w="60"/>
              <w:left w:type="dxa" w:w="80"/>
              <w:bottom w:type="dxa" w:w="60"/>
              <w:right w:type="dxa" w:w="80"/>
            </w:tcMar>
          </w:tcPr>
          <w:p>
            <w:r>
              <w:rPr>
                <w:rFonts w:ascii="Calibri" w:cs="Calibri" w:eastAsia="Calibri" w:hAnsi="Calibri"/>
                <w:b w:val="false"/>
                <w:bCs w:val="false"/>
                <w:sz w:val="20"/>
                <w:szCs w:val="20"/>
              </w:rPr>
              <w:t xml:space="preserve">D09</w:t>
            </w:r>
          </w:p>
        </w:tc>
      </w:tr>
      <w:tr>
        <w:tc>
          <w:tcPr>
            <w:tcW w:type="dxa" w:w="14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Continuo</w:t>
            </w:r>
          </w:p>
        </w:tc>
        <w:tc>
          <w:tcPr>
            <w:tcW w:type="dxa" w:w="28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Backups SaaS + Monitorización</w:t>
            </w:r>
          </w:p>
        </w:tc>
        <w:tc>
          <w:tcPr>
            <w:tcW w:type="dxa" w:w="3097"/>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Equipo TIC</w:t>
            </w:r>
          </w:p>
        </w:tc>
        <w:tc>
          <w:tcPr>
            <w:tcW w:type="dxa" w:w="2200"/>
            <w:tcBorders>
              <w:top w:val="single" w:color="D9D9D9" w:sz="1"/>
              <w:left w:val="single" w:color="D9D9D9" w:sz="1"/>
              <w:bottom w:val="single" w:color="D9D9D9" w:sz="1"/>
              <w:right w:val="single" w:color="D9D9D9" w:sz="1"/>
            </w:tcBorders>
            <w:tcMar>
              <w:top w:type="dxa" w:w="60"/>
              <w:left w:type="dxa" w:w="80"/>
              <w:bottom w:type="dxa" w:w="60"/>
              <w:right w:type="dxa" w:w="80"/>
            </w:tcMar>
          </w:tcPr>
          <w:p>
            <w:r>
              <w:rPr>
                <w:rFonts w:ascii="Calibri" w:cs="Calibri" w:eastAsia="Calibri" w:hAnsi="Calibri"/>
                <w:b w:val="false"/>
                <w:bCs w:val="false"/>
                <w:sz w:val="20"/>
                <w:szCs w:val="20"/>
              </w:rPr>
              <w:t xml:space="preserve">D03, P05</w:t>
            </w:r>
          </w:p>
        </w:tc>
      </w:tr>
    </w:tbl>
    <w:p>
      <w:pPr>
        <w:spacing w:after="200"/>
      </w:pPr>
    </w:p>
    <w:p>
      <w:r>
        <w:br w:type="page"/>
      </w:r>
    </w:p>
    <w:p>
      <w:pPr>
        <w:pStyle w:val="Heading1"/>
      </w:pPr>
      <w:r>
        <w:t xml:space="preserve">4. Anexo: Resumen de responsables</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2800"/>
        <w:gridCol w:w="6697"/>
      </w:tblGrid>
      <w:tr>
        <w:tc>
          <w:tcPr>
            <w:tcW w:type="dxa" w:w="2800"/>
            <w:tcBorders>
              <w:top w:val="single" w:color="D9D9D9" w:sz="1"/>
              <w:left w:val="single" w:color="D9D9D9" w:sz="1"/>
              <w:bottom w:val="single" w:color="D9D9D9" w:sz="1"/>
              <w:right w:val="single" w:color="D9D9D9" w:sz="1"/>
            </w:tcBorders>
            <w:shd w:fill="D1FBF0" w:val="clear"/>
            <w:tcMar>
              <w:top w:type="dxa" w:w="60"/>
              <w:left w:type="dxa" w:w="100"/>
              <w:bottom w:type="dxa" w:w="60"/>
              <w:right w:type="dxa" w:w="100"/>
            </w:tcMar>
          </w:tcPr>
          <w:p>
            <w:pPr>
              <w:jc w:val="center"/>
            </w:pPr>
            <w:r>
              <w:rPr>
                <w:rFonts w:ascii="Calibri" w:cs="Calibri" w:eastAsia="Calibri" w:hAnsi="Calibri"/>
                <w:b/>
                <w:bCs/>
                <w:sz w:val="22"/>
                <w:szCs w:val="22"/>
              </w:rPr>
              <w:t xml:space="preserve">Responsable</w:t>
            </w:r>
          </w:p>
        </w:tc>
        <w:tc>
          <w:tcPr>
            <w:tcW w:type="dxa" w:w="6697"/>
            <w:tcBorders>
              <w:top w:val="single" w:color="D9D9D9" w:sz="1"/>
              <w:left w:val="single" w:color="D9D9D9" w:sz="1"/>
              <w:bottom w:val="single" w:color="D9D9D9" w:sz="1"/>
              <w:right w:val="single" w:color="D9D9D9" w:sz="1"/>
            </w:tcBorders>
            <w:shd w:fill="D1FBF0" w:val="clear"/>
            <w:tcMar>
              <w:top w:type="dxa" w:w="60"/>
              <w:left w:type="dxa" w:w="100"/>
              <w:bottom w:type="dxa" w:w="60"/>
              <w:right w:type="dxa" w:w="100"/>
            </w:tcMar>
          </w:tcPr>
          <w:p>
            <w:pPr>
              <w:jc w:val="center"/>
            </w:pPr>
            <w:r>
              <w:rPr>
                <w:rFonts w:ascii="Calibri" w:cs="Calibri" w:eastAsia="Calibri" w:hAnsi="Calibri"/>
                <w:b/>
                <w:bCs/>
                <w:sz w:val="22"/>
                <w:szCs w:val="22"/>
              </w:rPr>
              <w:t xml:space="preserve">Tareas principales</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sz w:val="22"/>
                <w:szCs w:val="22"/>
              </w:rPr>
              <w:t xml:space="preserve">Comité Seguridad</w:t>
            </w:r>
          </w:p>
        </w:tc>
        <w:tc>
          <w:tcPr>
            <w:tcW w:type="dxa" w:w="66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2"/>
                <w:szCs w:val="22"/>
              </w:rPr>
              <w:t xml:space="preserve">Revisión Política (D01), Plan tratamiento riesgos, Revisión Plan Concienciación, Revisión cumplimiento legal</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sz w:val="22"/>
                <w:szCs w:val="22"/>
              </w:rPr>
              <w:t xml:space="preserve">Resp. Seguridad</w:t>
            </w:r>
          </w:p>
        </w:tc>
        <w:tc>
          <w:tcPr>
            <w:tcW w:type="dxa" w:w="66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2"/>
                <w:szCs w:val="22"/>
              </w:rPr>
              <w:t xml:space="preserve">Convocatoria Comité, Circulares seguridad, Análisis riesgos, Simulacro incidente, Revisión D09/D13</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sz w:val="22"/>
                <w:szCs w:val="22"/>
              </w:rPr>
              <w:t xml:space="preserve">Equipo TIC</w:t>
            </w:r>
          </w:p>
        </w:tc>
        <w:tc>
          <w:tcPr>
            <w:tcW w:type="dxa" w:w="66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2"/>
                <w:szCs w:val="22"/>
              </w:rPr>
              <w:t xml:space="preserve">Backups SaaS, Monitorización eventos, Revisión logs, Revisión accesos, Limpieza cuentas</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sz w:val="22"/>
                <w:szCs w:val="22"/>
              </w:rPr>
              <w:t xml:space="preserve">RRHH/Seguridad</w:t>
            </w:r>
          </w:p>
        </w:tc>
        <w:tc>
          <w:tcPr>
            <w:tcW w:type="dxa" w:w="66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2"/>
                <w:szCs w:val="22"/>
              </w:rPr>
              <w:t xml:space="preserve">Sesión concienciación anual, Micro-formaciones semestrales</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sz w:val="22"/>
                <w:szCs w:val="22"/>
              </w:rPr>
              <w:t xml:space="preserve">DPO</w:t>
            </w:r>
          </w:p>
        </w:tc>
        <w:tc>
          <w:tcPr>
            <w:tcW w:type="dxa" w:w="66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2"/>
                <w:szCs w:val="22"/>
              </w:rPr>
              <w:t xml:space="preserve">Revisión D10, Actualización RAT (D11)</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sz w:val="22"/>
                <w:szCs w:val="22"/>
              </w:rPr>
              <w:t xml:space="preserve">Auditor Interno (DPT05)</w:t>
            </w:r>
          </w:p>
        </w:tc>
        <w:tc>
          <w:tcPr>
            <w:tcW w:type="dxa" w:w="66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2"/>
                <w:szCs w:val="22"/>
              </w:rPr>
              <w:t xml:space="preserve">Auditoría interna ENS, Informe de auditoría</w:t>
            </w:r>
          </w:p>
        </w:tc>
      </w:tr>
      <w:tr>
        <w:tc>
          <w:tcPr>
            <w:tcW w:type="dxa" w:w="28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sz w:val="22"/>
                <w:szCs w:val="22"/>
              </w:rPr>
              <w:t xml:space="preserve">CTO</w:t>
            </w:r>
          </w:p>
        </w:tc>
        <w:tc>
          <w:tcPr>
            <w:tcW w:type="dxa" w:w="66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2"/>
                <w:szCs w:val="22"/>
              </w:rPr>
              <w:t xml:space="preserve">Formación técnica: AZ-900, AZ-104, AZ-500, AZ-305, Google IT Support, ITIL v4</w:t>
            </w:r>
          </w:p>
        </w:tc>
      </w:tr>
    </w:tbl>
    <w:p>
      <w:pPr>
        <w:spacing w:before="400"/>
      </w:pPr>
    </w:p>
    <w:p>
      <w:pPr>
        <w:pStyle w:val="Heading1"/>
      </w:pPr>
      <w:r>
        <w:t xml:space="preserve">5. Anexo: Documentos de referencia</w:t>
      </w:r>
    </w:p>
    <w:tbl>
      <w:tblPr>
        <w:tblW w:type="dxa" w:w="9497"/>
        <w:tblBorders>
          <w:top w:val="single" w:color="auto" w:sz="4"/>
          <w:left w:val="single" w:color="auto" w:sz="4"/>
          <w:bottom w:val="single" w:color="auto" w:sz="4"/>
          <w:right w:val="single" w:color="auto" w:sz="4"/>
          <w:insideH w:val="single" w:color="auto" w:sz="4"/>
          <w:insideV w:val="single" w:color="auto" w:sz="4"/>
        </w:tblBorders>
      </w:tblPr>
      <w:tblGrid>
        <w:gridCol w:w="1400"/>
        <w:gridCol w:w="8097"/>
      </w:tblGrid>
      <w:tr>
        <w:tc>
          <w:tcPr>
            <w:tcW w:type="dxa" w:w="1400"/>
            <w:tcBorders>
              <w:top w:val="single" w:color="D9D9D9" w:sz="1"/>
              <w:left w:val="single" w:color="D9D9D9" w:sz="1"/>
              <w:bottom w:val="single" w:color="D9D9D9" w:sz="1"/>
              <w:right w:val="single" w:color="D9D9D9" w:sz="1"/>
            </w:tcBorders>
            <w:shd w:fill="D1FBF0" w:val="clear"/>
            <w:tcMar>
              <w:top w:type="dxa" w:w="60"/>
              <w:left w:type="dxa" w:w="100"/>
              <w:bottom w:type="dxa" w:w="60"/>
              <w:right w:type="dxa" w:w="100"/>
            </w:tcMar>
          </w:tcPr>
          <w:p>
            <w:pPr>
              <w:jc w:val="center"/>
            </w:pPr>
            <w:r>
              <w:rPr>
                <w:rFonts w:ascii="Calibri" w:cs="Calibri" w:eastAsia="Calibri" w:hAnsi="Calibri"/>
                <w:b/>
                <w:bCs/>
                <w:sz w:val="22"/>
                <w:szCs w:val="22"/>
              </w:rPr>
              <w:t xml:space="preserve">Código</w:t>
            </w:r>
          </w:p>
        </w:tc>
        <w:tc>
          <w:tcPr>
            <w:tcW w:type="dxa" w:w="8097"/>
            <w:tcBorders>
              <w:top w:val="single" w:color="D9D9D9" w:sz="1"/>
              <w:left w:val="single" w:color="D9D9D9" w:sz="1"/>
              <w:bottom w:val="single" w:color="D9D9D9" w:sz="1"/>
              <w:right w:val="single" w:color="D9D9D9" w:sz="1"/>
            </w:tcBorders>
            <w:shd w:fill="D1FBF0" w:val="clear"/>
            <w:tcMar>
              <w:top w:type="dxa" w:w="60"/>
              <w:left w:type="dxa" w:w="100"/>
              <w:bottom w:type="dxa" w:w="60"/>
              <w:right w:type="dxa" w:w="100"/>
            </w:tcMar>
          </w:tcPr>
          <w:p>
            <w:pPr>
              <w:jc w:val="center"/>
            </w:pPr>
            <w:r>
              <w:rPr>
                <w:rFonts w:ascii="Calibri" w:cs="Calibri" w:eastAsia="Calibri" w:hAnsi="Calibri"/>
                <w:b/>
                <w:bCs/>
                <w:sz w:val="22"/>
                <w:szCs w:val="22"/>
              </w:rPr>
              <w:t xml:space="preserve">Documento</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D01</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Política de Seguridad de la Información</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D03</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Directrices de Seguridad de la Información</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D06</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Riesgos de Seguridad de la Información</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D09</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Registro de Iniciativas de Mejora Continua</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D10</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Política de Protección de Datos Personales</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D11</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RAT — Registro de Actividades de Tratamiento</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D13</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Marco Normativo Aplicable</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P01</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Gestión de Riesgos de Seguridad de la Información</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P04</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Gestión de Usuarios</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P05</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Gestión de Incidentes</w:t>
            </w:r>
          </w:p>
        </w:tc>
      </w:tr>
      <w:tr>
        <w:tc>
          <w:tcPr>
            <w:tcW w:type="dxa" w:w="1400"/>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b/>
                <w:bCs/>
                <w:color w:val="0D9A76"/>
                <w:sz w:val="20"/>
                <w:szCs w:val="20"/>
              </w:rPr>
              <w:t xml:space="preserve">DPT05</w:t>
            </w:r>
          </w:p>
        </w:tc>
        <w:tc>
          <w:tcPr>
            <w:tcW w:type="dxa" w:w="8097"/>
            <w:tcBorders>
              <w:top w:val="single" w:color="D9D9D9" w:sz="1"/>
              <w:left w:val="single" w:color="D9D9D9" w:sz="1"/>
              <w:bottom w:val="single" w:color="D9D9D9" w:sz="1"/>
              <w:right w:val="single" w:color="D9D9D9" w:sz="1"/>
            </w:tcBorders>
            <w:tcMar>
              <w:top w:type="dxa" w:w="60"/>
              <w:left w:type="dxa" w:w="100"/>
              <w:bottom w:type="dxa" w:w="60"/>
              <w:right w:type="dxa" w:w="100"/>
            </w:tcMar>
          </w:tcPr>
          <w:p>
            <w:r>
              <w:rPr>
                <w:rFonts w:ascii="Calibri" w:cs="Calibri" w:eastAsia="Calibri" w:hAnsi="Calibri"/>
                <w:sz w:val="20"/>
                <w:szCs w:val="20"/>
              </w:rPr>
              <w:t xml:space="preserve">Auditor Interno</w:t>
            </w:r>
          </w:p>
        </w:tc>
      </w:tr>
    </w:tbl>
    <w:sectPr>
      <w:headerReference w:type="default" r:id="rId8"/>
      <w:footerReference w:type="default" r:id="rId9"/>
      <w:pgSz w:w="11900" w:h="16840" w:orient="portrait"/>
      <w:pgMar w:top="1985" w:right="1127" w:bottom="1276" w:left="1276" w:header="708" w:footer="54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04040"/>
        <w:sz w:val="16"/>
        <w:szCs w:val="16"/>
      </w:rPr>
      <w:t xml:space="preserve">OPTIMTECH (Optim AI Improvement s.l.)</w:t>
    </w:r>
  </w:p>
  <w:p>
    <w:pPr>
      <w:jc w:val="center"/>
    </w:pPr>
    <w:hyperlink w:history="1" r:id="rIdaas2-i-auolfe7kjsi3xc">
      <w:r>
        <w:rPr>
          <w:rFonts w:ascii="Calibri" w:cs="Calibri" w:eastAsia="Calibri" w:hAnsi="Calibri"/>
          <w:i/>
          <w:iCs/>
          <w:color w:val="404040"/>
          <w:sz w:val="16"/>
          <w:szCs w:val="16"/>
        </w:rPr>
        <w:t xml:space="preserve">www.optimtech.com</w:t>
      </w:r>
    </w:hyperlink>
  </w:p>
  <w:p>
    <w:pPr>
      <w:jc w:val="center"/>
    </w:pPr>
    <w:r>
      <w:rPr>
        <w:rFonts w:ascii="Calibri" w:cs="Calibri" w:eastAsia="Calibri" w:hAnsi="Calibri"/>
        <w:i/>
        <w:iCs/>
        <w:color w:val="404040"/>
        <w:sz w:val="16"/>
        <w:szCs w:val="16"/>
      </w:rPr>
      <w:t xml:space="preserve">P.I Venta Nova S/N, Carrer l'Aldea, 0, 43894 Camarles</w:t>
    </w:r>
  </w:p>
  <w:p>
    <w:pPr>
      <w:jc w:val="center"/>
    </w:pPr>
    <w:r>
      <w:rPr>
        <w:rFonts w:ascii="Calibri" w:cs="Calibri" w:eastAsia="Calibri" w:hAnsi="Calibri"/>
        <w:i/>
        <w:iCs/>
        <w:color w:val="404040"/>
        <w:sz w:val="16"/>
        <w:szCs w:val="16"/>
      </w:rPr>
      <w:t xml:space="preserve">B22561500  |  +34 650 891 296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04040"/>
        <w:sz w:val="16"/>
        <w:szCs w:val="16"/>
      </w:rPr>
      <w:t xml:space="preserve">OPTIMTECH (Optim AI Improvement s.l.)</w:t>
    </w:r>
  </w:p>
  <w:p>
    <w:pPr>
      <w:jc w:val="center"/>
    </w:pPr>
    <w:hyperlink w:history="1" r:id="rIdaas2-i-auolfe7kjsi3xc">
      <w:r>
        <w:rPr>
          <w:rFonts w:ascii="Calibri" w:cs="Calibri" w:eastAsia="Calibri" w:hAnsi="Calibri"/>
          <w:i/>
          <w:iCs/>
          <w:color w:val="404040"/>
          <w:sz w:val="16"/>
          <w:szCs w:val="16"/>
        </w:rPr>
        <w:t xml:space="preserve">www.optimtech.com</w:t>
      </w:r>
    </w:hyperlink>
  </w:p>
  <w:p>
    <w:pPr>
      <w:jc w:val="center"/>
    </w:pPr>
    <w:r>
      <w:rPr>
        <w:rFonts w:ascii="Calibri" w:cs="Calibri" w:eastAsia="Calibri" w:hAnsi="Calibri"/>
        <w:i/>
        <w:iCs/>
        <w:color w:val="404040"/>
        <w:sz w:val="16"/>
        <w:szCs w:val="16"/>
      </w:rPr>
      <w:t xml:space="preserve">P.I Venta Nova S/N, Carrer l'Aldea, 0, 43894 Camarles</w:t>
    </w:r>
  </w:p>
  <w:p>
    <w:pPr>
      <w:jc w:val="center"/>
    </w:pPr>
    <w:r>
      <w:rPr>
        <w:rFonts w:ascii="Calibri" w:cs="Calibri" w:eastAsia="Calibri" w:hAnsi="Calibri"/>
        <w:i/>
        <w:iCs/>
        <w:color w:val="404040"/>
        <w:sz w:val="16"/>
        <w:szCs w:val="16"/>
      </w:rPr>
      <w:t xml:space="preserve">B22561500  |  +34 650 891 296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73"/>
      <w:tblBorders>
        <w:top w:val="single" w:color="auto" w:sz="4"/>
        <w:left w:val="single" w:color="auto" w:sz="4"/>
        <w:bottom w:val="single" w:color="auto" w:sz="4"/>
        <w:right w:val="single" w:color="auto" w:sz="4"/>
        <w:insideH w:val="single" w:color="auto" w:sz="4"/>
        <w:insideV w:val="single" w:color="auto" w:sz="4"/>
      </w:tblBorders>
    </w:tblPr>
    <w:tblGrid>
      <w:gridCol w:w="3575"/>
      <w:gridCol w:w="3049"/>
      <w:gridCol w:w="3049"/>
    </w:tblGrid>
    <w:tr>
      <w:tc>
        <w:tcPr>
          <w:tcW w:type="dxa" w:w="3575"/>
          <w:tcBorders>
            <w:top w:val="single" w:color="BFBFBF" w:sz="1"/>
            <w:left w:val="single" w:color="BFBFBF" w:sz="1"/>
            <w:bottom w:val="single" w:color="BFBFBF" w:sz="1"/>
            <w:right w:val="single" w:color="BFBFBF" w:sz="1"/>
          </w:tcBorders>
          <w:tcMar>
            <w:left w:type="dxa" w:w="70"/>
            <w:right w:type="dxa" w:w="70"/>
          </w:tcMar>
        </w:tcPr>
        <w:p>
          <w:r>
            <w:rPr>
              <w:rFonts w:ascii="Segoe UI" w:cs="Segoe UI" w:eastAsia="Segoe UI" w:hAnsi="Segoe UI"/>
              <w:b/>
              <w:bCs/>
              <w:sz w:val="22"/>
              <w:szCs w:val="22"/>
            </w:rPr>
            <w:t xml:space="preserve">Calendario ENS 2026</w:t>
          </w:r>
        </w:p>
      </w:tc>
      <w:tc>
        <w:tcPr>
          <w:tcW w:type="dxa" w:w="3049"/>
          <w:tcBorders>
            <w:top w:val="single" w:color="BFBFBF" w:sz="1"/>
            <w:left w:val="single" w:color="BFBFBF" w:sz="1"/>
            <w:bottom w:val="single" w:color="BFBFBF" w:sz="1"/>
            <w:right w:val="single" w:color="BFBFBF" w:sz="1"/>
          </w:tcBorders>
          <w:tcMar>
            <w:left w:type="dxa" w:w="70"/>
            <w:right w:type="dxa" w:w="70"/>
          </w:tcMar>
        </w:tcPr>
        <w:p>
          <w:r>
            <w:rPr>
              <w:rFonts w:ascii="Segoe UI" w:cs="Segoe UI" w:eastAsia="Segoe UI" w:hAnsi="Segoe UI"/>
              <w:b/>
              <w:bCs/>
              <w:sz w:val="22"/>
              <w:szCs w:val="22"/>
            </w:rPr>
            <w:t xml:space="preserve">GOB-CAL-2026 Rev.01</w:t>
          </w:r>
        </w:p>
      </w:tc>
      <w:tc>
        <w:tcPr>
          <w:tcW w:type="dxa" w:w="3049"/>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USO INTERNO</w:t>
          </w:r>
        </w:p>
        <w:p>
          <w:pPr>
            <w:jc w:val="right"/>
          </w:pPr>
          <w:r>
            <w:drawing>
              <wp:inline distT="0" distB="0" distL="0" distR="0">
                <wp:extent cx="885825" cy="361950"/>
                <wp:effectExtent t="0" r="0" b="0" l="0"/>
                <wp:docPr id="1" name="logo" descr="Logo OPTIMTECH" title="OPTIM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85825" cy="361950"/>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73"/>
      <w:tblBorders>
        <w:top w:val="single" w:color="auto" w:sz="4"/>
        <w:left w:val="single" w:color="auto" w:sz="4"/>
        <w:bottom w:val="single" w:color="auto" w:sz="4"/>
        <w:right w:val="single" w:color="auto" w:sz="4"/>
        <w:insideH w:val="single" w:color="auto" w:sz="4"/>
        <w:insideV w:val="single" w:color="auto" w:sz="4"/>
      </w:tblBorders>
    </w:tblPr>
    <w:tblGrid>
      <w:gridCol w:w="3575"/>
      <w:gridCol w:w="3049"/>
      <w:gridCol w:w="3049"/>
    </w:tblGrid>
    <w:tr>
      <w:tc>
        <w:tcPr>
          <w:tcW w:type="dxa" w:w="3575"/>
          <w:tcBorders>
            <w:top w:val="single" w:color="BFBFBF" w:sz="1"/>
            <w:left w:val="single" w:color="BFBFBF" w:sz="1"/>
            <w:bottom w:val="single" w:color="BFBFBF" w:sz="1"/>
            <w:right w:val="single" w:color="BFBFBF" w:sz="1"/>
          </w:tcBorders>
          <w:tcMar>
            <w:left w:type="dxa" w:w="70"/>
            <w:right w:type="dxa" w:w="70"/>
          </w:tcMar>
        </w:tcPr>
        <w:p>
          <w:r>
            <w:rPr>
              <w:rFonts w:ascii="Segoe UI" w:cs="Segoe UI" w:eastAsia="Segoe UI" w:hAnsi="Segoe UI"/>
              <w:b/>
              <w:bCs/>
              <w:sz w:val="22"/>
              <w:szCs w:val="22"/>
            </w:rPr>
            <w:t xml:space="preserve">Calendario ENS 2026</w:t>
          </w:r>
        </w:p>
      </w:tc>
      <w:tc>
        <w:tcPr>
          <w:tcW w:type="dxa" w:w="3049"/>
          <w:tcBorders>
            <w:top w:val="single" w:color="BFBFBF" w:sz="1"/>
            <w:left w:val="single" w:color="BFBFBF" w:sz="1"/>
            <w:bottom w:val="single" w:color="BFBFBF" w:sz="1"/>
            <w:right w:val="single" w:color="BFBFBF" w:sz="1"/>
          </w:tcBorders>
          <w:tcMar>
            <w:left w:type="dxa" w:w="70"/>
            <w:right w:type="dxa" w:w="70"/>
          </w:tcMar>
        </w:tcPr>
        <w:p>
          <w:r>
            <w:rPr>
              <w:rFonts w:ascii="Segoe UI" w:cs="Segoe UI" w:eastAsia="Segoe UI" w:hAnsi="Segoe UI"/>
              <w:b/>
              <w:bCs/>
              <w:sz w:val="22"/>
              <w:szCs w:val="22"/>
            </w:rPr>
            <w:t xml:space="preserve">GOB-CAL-2026 Rev.01</w:t>
          </w:r>
        </w:p>
      </w:tc>
      <w:tc>
        <w:tcPr>
          <w:tcW w:type="dxa" w:w="3049"/>
          <w:tcBorders>
            <w:top w:val="single" w:color="BFBFBF" w:sz="1"/>
            <w:left w:val="single" w:color="BFBFBF" w:sz="1"/>
            <w:bottom w:val="single" w:color="BFBFBF" w:sz="1"/>
            <w:right w:val="single" w:color="BFBFBF" w:sz="1"/>
          </w:tcBorders>
          <w:tcMar>
            <w:left w:type="dxa" w:w="70"/>
            <w:right w:type="dxa" w:w="70"/>
          </w:tcMar>
          <w:vAlign w:val="center"/>
        </w:tcPr>
        <w:p>
          <w:r>
            <w:rPr>
              <w:rFonts w:ascii="Segoe UI" w:cs="Segoe UI" w:eastAsia="Segoe UI" w:hAnsi="Segoe UI"/>
              <w:b/>
              <w:bCs/>
              <w:sz w:val="22"/>
              <w:szCs w:val="22"/>
            </w:rPr>
            <w:t xml:space="preserve">USO INTERNO</w:t>
          </w:r>
        </w:p>
        <w:p>
          <w:pPr>
            <w:jc w:val="right"/>
          </w:pPr>
          <w:r>
            <w:drawing>
              <wp:inline distT="0" distB="0" distL="0" distR="0">
                <wp:extent cx="885825" cy="361950"/>
                <wp:effectExtent t="0" r="0" b="0" l="0"/>
                <wp:docPr id="1" name="logo" descr="Logo OPTIMTECH" title="OPTIM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85825" cy="3619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0D9A76"/>
      <w:sz w:val="32"/>
      <w:szCs w:val="32"/>
    </w:rPr>
  </w:style>
  <w:style w:type="paragraph" w:styleId="Heading2">
    <w:name w:val="Heading 2"/>
    <w:basedOn w:val="Normal"/>
    <w:next w:val="Normal"/>
    <w:qFormat/>
    <w:pPr>
      <w:spacing w:before="200" w:after="100"/>
      <w:outlineLvl w:val="1"/>
    </w:pPr>
    <w:rPr>
      <w:rFonts w:ascii="Calibri" w:cs="Calibri" w:eastAsia="Calibri" w:hAnsi="Calibri"/>
      <w:color w:val="0D9A76"/>
      <w:sz w:val="26"/>
      <w:szCs w:val="26"/>
    </w:rPr>
  </w:style>
  <w:style w:type="paragraph" w:styleId="Heading3">
    <w:name w:val="Heading 3"/>
    <w:basedOn w:val="Normal"/>
    <w:next w:val="Normal"/>
    <w:qFormat/>
    <w:pPr>
      <w:spacing w:before="160" w:after="80"/>
      <w:outlineLvl w:val="2"/>
    </w:pPr>
    <w:rPr>
      <w:rFonts w:ascii="Calibri" w:cs="Calibri" w:eastAsia="Calibri" w:hAnsi="Calibri"/>
      <w:color w:val="0D9A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513facbae0a806444d7b95f595ae94c64a27ba4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aas2-i-auolfe7kjsi3xc" Type="http://schemas.openxmlformats.org/officeDocument/2006/relationships/hyperlink" Target="https://www.optimtech.com"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13facbae0a806444d7b95f595ae94c64a27ba45.png"/></Relationships>
</file>

<file path=word/_rels/header2.xml.rels><?xml version="1.0" encoding="UTF-8"?><Relationships xmlns="http://schemas.openxmlformats.org/package/2006/relationships"><Relationship Id="rId0" Type="http://schemas.openxmlformats.org/officeDocument/2006/relationships/image" Target="media/513facbae0a806444d7b95f595ae94c64a27ba4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2026-03-07T15:42:34.575Z</dcterms:created>
  <dcterms:modified xsi:type="dcterms:W3CDTF">2026-03-07T15:42:34.580Z</dcterms:modified>
</cp:coreProperties>
</file>

<file path=docProps/custom.xml><?xml version="1.0" encoding="utf-8"?>
<Properties xmlns="http://schemas.openxmlformats.org/officeDocument/2006/custom-properties" xmlns:vt="http://schemas.openxmlformats.org/officeDocument/2006/docPropsVTypes"/>
</file>