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color w:val="8B1A1A"/>
          <w:sz w:val="48"/>
        </w:rPr>
        <w:t>TESTBASED NUTRITION (TBN)</w:t>
        <w:br/>
      </w:r>
    </w:p>
    <w:p>
      <w:pPr>
        <w:spacing w:after="720"/>
        <w:jc w:val="center"/>
      </w:pPr>
      <w:r>
        <w:rPr>
          <w:rFonts w:ascii="Arial" w:hAnsi="Arial"/>
          <w:b w:val="0"/>
          <w:i/>
          <w:color w:val="646464"/>
          <w:sz w:val="28"/>
        </w:rPr>
        <w:t>System Administrator &amp; Back-Office Operations Guide</w:t>
      </w:r>
    </w:p>
    <w:p>
      <w:pPr>
        <w:pStyle w:val="Heading1"/>
        <w:spacing w:before="240" w:after="120"/>
      </w:pPr>
      <w:r>
        <w:rPr>
          <w:rFonts w:ascii="Arial" w:hAnsi="Arial"/>
          <w:b/>
          <w:i w:val="0"/>
          <w:color w:val="8B1A1A"/>
          <w:sz w:val="36"/>
        </w:rPr>
        <w:t>Ecosystem Overview</w:t>
      </w:r>
    </w:p>
    <w:p>
      <w:r>
        <w:rPr>
          <w:rFonts w:ascii="Arial" w:hAnsi="Arial"/>
          <w:b w:val="0"/>
          <w:i w:val="0"/>
          <w:sz w:val="20"/>
        </w:rPr>
        <w:t>Welcome to the TestBased Nutrition (TBN) Administrator Portal Manual. As an administrator, you oversee the clinical data flow, verify specialists, manage the CRM client pipelines, track self-hosted web traffic, and distribute marketing assets to partners. This guide walks you through each section of the B2B administrative portal and B2C directories.</w:t>
      </w:r>
    </w:p>
    <w:p>
      <w:pPr>
        <w:pStyle w:val="Heading2"/>
        <w:spacing w:before="240" w:after="80"/>
      </w:pPr>
      <w:r>
        <w:rPr>
          <w:rFonts w:ascii="Arial" w:hAnsi="Arial"/>
          <w:b/>
          <w:i w:val="0"/>
          <w:color w:val="8B1A1A"/>
          <w:sz w:val="28"/>
        </w:rPr>
        <w:t>1. Specialist Directory &amp; Approvals (Manage Profiles)</w:t>
      </w:r>
    </w:p>
    <w:p>
      <w:r>
        <w:rPr>
          <w:rFonts w:ascii="Arial" w:hAnsi="Arial"/>
          <w:b w:val="0"/>
          <w:i w:val="0"/>
          <w:sz w:val="20"/>
        </w:rPr>
        <w:t>The public Specialists Directory connects customers with verified clinics. Admins control who appears in the directory via the Manage Profiles console:</w:t>
      </w:r>
    </w:p>
    <w:p>
      <w:pPr>
        <w:pStyle w:val="ListBullet"/>
        <w:spacing w:after="40"/>
        <w:ind w:left="576"/>
      </w:pPr>
      <w:r>
        <w:rPr>
          <w:rFonts w:ascii="Arial" w:hAnsi="Arial"/>
          <w:b/>
          <w:i w:val="0"/>
          <w:sz w:val="20"/>
        </w:rPr>
        <w:t xml:space="preserve">Onboarding Pipeline: </w:t>
      </w:r>
      <w:r>
        <w:rPr>
          <w:rFonts w:ascii="Arial" w:hAnsi="Arial"/>
          <w:b w:val="0"/>
          <w:i w:val="0"/>
          <w:sz w:val="20"/>
        </w:rPr>
        <w:t>When a partner applies, their profile is submitted to the database. Navigate to 'Manage Profiles' under 'Operations &amp; CMS' in the sidebar.</w:t>
      </w:r>
    </w:p>
    <w:p>
      <w:pPr>
        <w:pStyle w:val="ListBullet"/>
        <w:spacing w:after="40"/>
        <w:ind w:left="576"/>
      </w:pPr>
      <w:r>
        <w:rPr>
          <w:rFonts w:ascii="Arial" w:hAnsi="Arial"/>
          <w:b/>
          <w:i w:val="0"/>
          <w:sz w:val="20"/>
        </w:rPr>
        <w:t xml:space="preserve">Reviewing Profiles: </w:t>
      </w:r>
      <w:r>
        <w:rPr>
          <w:rFonts w:ascii="Arial" w:hAnsi="Arial"/>
          <w:b w:val="0"/>
          <w:i w:val="0"/>
          <w:sz w:val="20"/>
        </w:rPr>
        <w:t>Click 'Edit' next to a specialist profile. Review their credentials, biography, and photos. Emojis and quotes are parsed automatically. Testimonial summaries are limited to 50 words to maintain directory page visual alignment.</w:t>
      </w:r>
    </w:p>
    <w:p>
      <w:pPr>
        <w:pStyle w:val="ListBullet"/>
        <w:spacing w:after="40"/>
        <w:ind w:left="576"/>
      </w:pPr>
      <w:r>
        <w:rPr>
          <w:rFonts w:ascii="Arial" w:hAnsi="Arial"/>
          <w:b/>
          <w:i w:val="0"/>
          <w:sz w:val="20"/>
        </w:rPr>
        <w:t xml:space="preserve">Approval Status: </w:t>
      </w:r>
      <w:r>
        <w:rPr>
          <w:rFonts w:ascii="Arial" w:hAnsi="Arial"/>
          <w:b w:val="0"/>
          <w:i w:val="0"/>
          <w:sz w:val="20"/>
        </w:rPr>
        <w:t>Toggle their approval checkmarks. Approved specialists show up immediately on the public B2C search grid. Verification checkmark badges are removed on directory cards to provide a cleaner, editorial style.</w:t>
      </w:r>
    </w:p>
    <w:p>
      <w:pPr>
        <w:pStyle w:val="ListBullet"/>
        <w:spacing w:after="40"/>
        <w:ind w:left="576"/>
      </w:pPr>
      <w:r>
        <w:rPr>
          <w:rFonts w:ascii="Arial" w:hAnsi="Arial"/>
          <w:b/>
          <w:i w:val="0"/>
          <w:sz w:val="20"/>
        </w:rPr>
        <w:t xml:space="preserve">Location Formatting: </w:t>
      </w:r>
      <w:r>
        <w:rPr>
          <w:rFonts w:ascii="Arial" w:hAnsi="Arial"/>
          <w:b w:val="0"/>
          <w:i w:val="0"/>
          <w:sz w:val="20"/>
        </w:rPr>
        <w:t>The database extracts clean Town/City headings automatically from address inputs (e.g. mapping '24 High St, Cardiff, CF10' to 'Cardiff') to keep directory cards uniform.</w:t>
      </w:r>
    </w:p>
    <w:p>
      <w:pPr>
        <w:pStyle w:val="Heading2"/>
        <w:spacing w:before="240" w:after="80"/>
      </w:pPr>
      <w:r>
        <w:rPr>
          <w:rFonts w:ascii="Arial" w:hAnsi="Arial"/>
          <w:b/>
          <w:i w:val="0"/>
          <w:color w:val="8B1A1A"/>
          <w:sz w:val="28"/>
        </w:rPr>
        <w:t>2. Web Leads CRM &amp; Pipeline (Manage Leads)</w:t>
      </w:r>
    </w:p>
    <w:p>
      <w:r>
        <w:rPr>
          <w:rFonts w:ascii="Arial" w:hAnsi="Arial"/>
          <w:b w:val="0"/>
          <w:i w:val="0"/>
          <w:sz w:val="20"/>
        </w:rPr>
        <w:t>All incoming client enquiries are routed into the central Leads Dashboard. To access, select 'Manage Leads' in the sidebar. The panel is split into four distinct inquiry types:</w:t>
      </w:r>
    </w:p>
    <w:p>
      <w:pPr>
        <w:pStyle w:val="ListBullet"/>
        <w:spacing w:after="40"/>
        <w:ind w:left="576"/>
      </w:pPr>
      <w:r>
        <w:rPr>
          <w:rFonts w:ascii="Arial" w:hAnsi="Arial"/>
          <w:b/>
          <w:i w:val="0"/>
          <w:sz w:val="20"/>
        </w:rPr>
        <w:t xml:space="preserve">Partner Enquiries: </w:t>
      </w:r>
      <w:r>
        <w:rPr>
          <w:rFonts w:ascii="Arial" w:hAnsi="Arial"/>
          <w:b w:val="0"/>
          <w:i w:val="0"/>
          <w:sz w:val="20"/>
        </w:rPr>
        <w:t>Contains applications from external clinics wanting to host a TBN Hub.</w:t>
      </w:r>
    </w:p>
    <w:p>
      <w:pPr>
        <w:pStyle w:val="ListBullet"/>
        <w:spacing w:after="40"/>
        <w:ind w:left="576"/>
      </w:pPr>
      <w:r>
        <w:rPr>
          <w:rFonts w:ascii="Arial" w:hAnsi="Arial"/>
          <w:b/>
          <w:i w:val="0"/>
          <w:sz w:val="20"/>
        </w:rPr>
        <w:t xml:space="preserve">Academy Registrations: </w:t>
      </w:r>
      <w:r>
        <w:rPr>
          <w:rFonts w:ascii="Arial" w:hAnsi="Arial"/>
          <w:b w:val="0"/>
          <w:i w:val="0"/>
          <w:sz w:val="20"/>
        </w:rPr>
        <w:t>Tracks signups for TBN Clinical Academy courses.</w:t>
      </w:r>
    </w:p>
    <w:p>
      <w:pPr>
        <w:pStyle w:val="ListBullet"/>
        <w:spacing w:after="40"/>
        <w:ind w:left="576"/>
      </w:pPr>
      <w:r>
        <w:rPr>
          <w:rFonts w:ascii="Arial" w:hAnsi="Arial"/>
          <w:b/>
          <w:i w:val="0"/>
          <w:sz w:val="20"/>
        </w:rPr>
        <w:t xml:space="preserve">Quiz Enquiries: </w:t>
      </w:r>
      <w:r>
        <w:rPr>
          <w:rFonts w:ascii="Arial" w:hAnsi="Arial"/>
          <w:b w:val="0"/>
          <w:i w:val="0"/>
          <w:sz w:val="20"/>
        </w:rPr>
        <w:t>Detailed logs from the public B2C Health Goals Assessment quiz, showing client answers, goals, and referral codes.</w:t>
      </w:r>
    </w:p>
    <w:p>
      <w:pPr>
        <w:pStyle w:val="ListBullet"/>
        <w:spacing w:after="40"/>
        <w:ind w:left="576"/>
      </w:pPr>
      <w:r>
        <w:rPr>
          <w:rFonts w:ascii="Arial" w:hAnsi="Arial"/>
          <w:b/>
          <w:i w:val="0"/>
          <w:sz w:val="20"/>
        </w:rPr>
        <w:t xml:space="preserve">Customer Booking Leads: </w:t>
      </w:r>
      <w:r>
        <w:rPr>
          <w:rFonts w:ascii="Arial" w:hAnsi="Arial"/>
          <w:b w:val="0"/>
          <w:i w:val="0"/>
          <w:sz w:val="20"/>
        </w:rPr>
        <w:t>Tracks direct booking appointments submitted by clients on specialist pages.</w:t>
      </w:r>
    </w:p>
    <w:p>
      <w:pPr>
        <w:pStyle w:val="Heading3"/>
        <w:spacing w:before="160" w:after="40"/>
      </w:pPr>
      <w:r>
        <w:rPr>
          <w:rFonts w:ascii="Arial" w:hAnsi="Arial"/>
          <w:b/>
          <w:i w:val="0"/>
          <w:color w:val="323232"/>
          <w:sz w:val="23"/>
        </w:rPr>
        <w:t>CRM Deal Conversion and Deletion Actions:</w:t>
      </w:r>
    </w:p>
    <w:p>
      <w:pPr>
        <w:pStyle w:val="ListBullet"/>
        <w:spacing w:after="40"/>
        <w:ind w:left="576"/>
      </w:pPr>
      <w:r>
        <w:rPr>
          <w:rFonts w:ascii="Arial" w:hAnsi="Arial"/>
          <w:b/>
          <w:i w:val="0"/>
          <w:sz w:val="20"/>
        </w:rPr>
        <w:t xml:space="preserve">Pipeline Stage Tracking: </w:t>
      </w:r>
      <w:r>
        <w:rPr>
          <w:rFonts w:ascii="Arial" w:hAnsi="Arial"/>
          <w:b w:val="0"/>
          <w:i w:val="0"/>
          <w:sz w:val="20"/>
        </w:rPr>
        <w:t>Draggable Kanban cards let you transition deals from 'Lead' -&gt; 'Contacted' -&gt; 'Meeting Scheduled' -&gt; 'Active Partner'.</w:t>
      </w:r>
    </w:p>
    <w:p>
      <w:pPr>
        <w:pStyle w:val="ListBullet"/>
        <w:spacing w:after="40"/>
        <w:ind w:left="576"/>
      </w:pPr>
      <w:r>
        <w:rPr>
          <w:rFonts w:ascii="Arial" w:hAnsi="Arial"/>
          <w:b/>
          <w:i w:val="0"/>
          <w:sz w:val="20"/>
        </w:rPr>
        <w:t xml:space="preserve">Notes &amp; Updates: </w:t>
      </w:r>
      <w:r>
        <w:rPr>
          <w:rFonts w:ascii="Arial" w:hAnsi="Arial"/>
          <w:b w:val="0"/>
          <w:i w:val="0"/>
          <w:sz w:val="20"/>
        </w:rPr>
        <w:t>Admins can click on deals to add meeting logs, change deal titles, or reassign them to specific regional specialist reps.</w:t>
      </w:r>
    </w:p>
    <w:p>
      <w:pPr>
        <w:pStyle w:val="ListBullet"/>
        <w:spacing w:after="40"/>
        <w:ind w:left="576"/>
      </w:pPr>
      <w:r>
        <w:rPr>
          <w:rFonts w:ascii="Arial" w:hAnsi="Arial"/>
          <w:b/>
          <w:i w:val="0"/>
          <w:sz w:val="20"/>
        </w:rPr>
        <w:t xml:space="preserve">Lead Deletion (Spam Cleanup): </w:t>
      </w:r>
      <w:r>
        <w:rPr>
          <w:rFonts w:ascii="Arial" w:hAnsi="Arial"/>
          <w:b w:val="0"/>
          <w:i w:val="0"/>
          <w:sz w:val="20"/>
        </w:rPr>
        <w:t>A secure Server Action allows admins to click the trash icon to purge spam leads. This immediately runs a service-role query to clear database records and syncs client metrics in real time.</w:t>
      </w:r>
    </w:p>
    <w:p>
      <w:pPr>
        <w:pStyle w:val="ListBullet"/>
        <w:spacing w:after="40"/>
        <w:ind w:left="576"/>
      </w:pPr>
      <w:r>
        <w:rPr>
          <w:rFonts w:ascii="Arial" w:hAnsi="Arial"/>
          <w:b/>
          <w:i w:val="0"/>
          <w:sz w:val="20"/>
        </w:rPr>
        <w:t xml:space="preserve">CSV Export: </w:t>
      </w:r>
      <w:r>
        <w:rPr>
          <w:rFonts w:ascii="Arial" w:hAnsi="Arial"/>
          <w:b w:val="0"/>
          <w:i w:val="0"/>
          <w:sz w:val="20"/>
        </w:rPr>
        <w:t>Click 'Export to CSV' on any of the leads sub-tabs to download log sheets for spreadsheets auditing.</w:t>
      </w:r>
    </w:p>
    <w:p>
      <w:pPr>
        <w:pStyle w:val="Heading2"/>
        <w:spacing w:before="240" w:after="80"/>
      </w:pPr>
      <w:r>
        <w:rPr>
          <w:rFonts w:ascii="Arial" w:hAnsi="Arial"/>
          <w:b/>
          <w:i w:val="0"/>
          <w:color w:val="8B1A1A"/>
          <w:sz w:val="28"/>
        </w:rPr>
        <w:t>3. Site Traffic &amp; Geolocation Analytics (Stats &amp; Analytics)</w:t>
      </w:r>
    </w:p>
    <w:p>
      <w:r>
        <w:rPr>
          <w:rFonts w:ascii="Arial" w:hAnsi="Arial"/>
          <w:b w:val="0"/>
          <w:i w:val="0"/>
          <w:sz w:val="20"/>
        </w:rPr>
        <w:t>TBN runs a zero-configuration, self-hosted traffic tracker. Because it logs pageviews directly to your database, it bypasses ad-blockers and captures crucial visitor statistics before Google Analytics is active.</w:t>
      </w:r>
    </w:p>
    <w:p>
      <w:pPr>
        <w:pStyle w:val="ListBullet"/>
        <w:spacing w:after="40"/>
        <w:ind w:left="576"/>
      </w:pPr>
      <w:r>
        <w:rPr>
          <w:rFonts w:ascii="Arial" w:hAnsi="Arial"/>
          <w:b/>
          <w:i w:val="0"/>
          <w:sz w:val="20"/>
        </w:rPr>
        <w:t xml:space="preserve">Traffic Metrics: </w:t>
      </w:r>
      <w:r>
        <w:rPr>
          <w:rFonts w:ascii="Arial" w:hAnsi="Arial"/>
          <w:b w:val="0"/>
          <w:i w:val="0"/>
          <w:sz w:val="20"/>
        </w:rPr>
        <w:t>Dashboard metrics report Page Views, Unique Visitors, Average Session Duration, and Bounce Rates.</w:t>
      </w:r>
    </w:p>
    <w:p>
      <w:pPr>
        <w:pStyle w:val="ListBullet"/>
        <w:spacing w:after="40"/>
        <w:ind w:left="576"/>
      </w:pPr>
      <w:r>
        <w:rPr>
          <w:rFonts w:ascii="Arial" w:hAnsi="Arial"/>
          <w:b/>
          <w:i w:val="0"/>
          <w:sz w:val="20"/>
        </w:rPr>
        <w:t xml:space="preserve">7-Day Trend Chart: </w:t>
      </w:r>
      <w:r>
        <w:rPr>
          <w:rFonts w:ascii="Arial" w:hAnsi="Arial"/>
          <w:b w:val="0"/>
          <w:i w:val="0"/>
          <w:sz w:val="20"/>
        </w:rPr>
        <w:t>A custom vector line graph plots traffic logs over a rolling week.</w:t>
      </w:r>
    </w:p>
    <w:p>
      <w:pPr>
        <w:pStyle w:val="ListBullet"/>
        <w:spacing w:after="40"/>
        <w:ind w:left="576"/>
      </w:pPr>
      <w:r>
        <w:rPr>
          <w:rFonts w:ascii="Arial" w:hAnsi="Arial"/>
          <w:b/>
          <w:i w:val="0"/>
          <w:sz w:val="20"/>
        </w:rPr>
        <w:t xml:space="preserve">Device &amp; Acquisition: </w:t>
      </w:r>
      <w:r>
        <w:rPr>
          <w:rFonts w:ascii="Arial" w:hAnsi="Arial"/>
          <w:b w:val="0"/>
          <w:i w:val="0"/>
          <w:sz w:val="20"/>
        </w:rPr>
        <w:t>View desktop/mobile ratios and acquisition splits (Direct, Organic Search, Social, Referrals).</w:t>
      </w:r>
    </w:p>
    <w:p>
      <w:pPr>
        <w:pStyle w:val="ListBullet"/>
        <w:spacing w:after="40"/>
        <w:ind w:left="576"/>
      </w:pPr>
      <w:r>
        <w:rPr>
          <w:rFonts w:ascii="Arial" w:hAnsi="Arial"/>
          <w:b/>
          <w:i w:val="0"/>
          <w:sz w:val="20"/>
        </w:rPr>
        <w:t xml:space="preserve">Live Log Terminal: </w:t>
      </w:r>
      <w:r>
        <w:rPr>
          <w:rFonts w:ascii="Arial" w:hAnsi="Arial"/>
          <w:b w:val="0"/>
          <w:i w:val="0"/>
          <w:sz w:val="20"/>
        </w:rPr>
        <w:t>Scrolls incoming pageviews in real time showing path, device type, campaign codes, and visitor's geolocated city/country (resolved via ipapi.co).</w:t>
      </w:r>
    </w:p>
    <w:p>
      <w:pPr>
        <w:pStyle w:val="ListBullet"/>
        <w:spacing w:after="40"/>
        <w:ind w:left="576"/>
      </w:pPr>
      <w:r>
        <w:rPr>
          <w:rFonts w:ascii="Arial" w:hAnsi="Arial"/>
          <w:b/>
          <w:i w:val="0"/>
          <w:sz w:val="20"/>
        </w:rPr>
        <w:t xml:space="preserve">Google Analytics 4 (GA4): </w:t>
      </w:r>
      <w:r>
        <w:rPr>
          <w:rFonts w:ascii="Arial" w:hAnsi="Arial"/>
          <w:b w:val="0"/>
          <w:i w:val="0"/>
          <w:sz w:val="20"/>
        </w:rPr>
        <w:t>Enter your measurement ID (e.g. G-XXXXX) in the configuration card to activate global Google tracking scripts.</w:t>
      </w:r>
    </w:p>
    <w:tbl>
      <w:tblPr>
        <w:tblW w:type="auto" w:w="0"/>
        <w:jc w:val="center"/>
        <w:tblLook w:firstColumn="1" w:firstRow="1" w:lastColumn="0" w:lastRow="0" w:noHBand="0" w:noVBand="1" w:val="04A0"/>
      </w:tblPr>
      <w:tblGrid>
        <w:gridCol w:w="9360"/>
      </w:tblGrid>
      <w:tr>
        <w:tc>
          <w:tcPr>
            <w:tcW w:type="dxa" w:w="9360"/>
            <w:shd w:val="clear" w:color="auto" w:fill="F7F5F0"/>
          </w:tcPr>
          <w:p>
            <w:pPr>
              <w:spacing w:before="120" w:after="120"/>
              <w:ind w:left="216" w:right="216"/>
            </w:pPr>
            <w:r>
              <w:rPr>
                <w:rFonts w:ascii="Arial" w:hAnsi="Arial"/>
                <w:b w:val="0"/>
                <w:i/>
                <w:color w:val="8B1A1A"/>
                <w:sz w:val="19"/>
              </w:rPr>
              <w:t>Tip: To test charts and table layouts, toggle the 'Sandbox Simulator' switch on the analytics page to stream randomized traffic data into your dashboard log.</w:t>
            </w:r>
          </w:p>
        </w:tc>
      </w:tr>
    </w:tbl>
    <w:p>
      <w:pPr>
        <w:spacing w:after="80"/>
      </w:pPr>
    </w:p>
    <w:p>
      <w:pPr>
        <w:pStyle w:val="Heading2"/>
        <w:spacing w:before="240" w:after="80"/>
      </w:pPr>
      <w:r>
        <w:rPr>
          <w:rFonts w:ascii="Arial" w:hAnsi="Arial"/>
          <w:b/>
          <w:i w:val="0"/>
          <w:color w:val="8B1A1A"/>
          <w:sz w:val="28"/>
        </w:rPr>
        <w:t>4. Affiliate Leaderboards &amp; Campaign Builder (Affiliate Link Data)</w:t>
      </w:r>
    </w:p>
    <w:p>
      <w:r>
        <w:rPr>
          <w:rFonts w:ascii="Arial" w:hAnsi="Arial"/>
          <w:b w:val="0"/>
          <w:i w:val="0"/>
          <w:sz w:val="20"/>
        </w:rPr>
        <w:t>TBN drives growth through a practitioner referral network. The 'Affiliate Link Data' tab gives you visibility over referral campaigns:</w:t>
      </w:r>
    </w:p>
    <w:p>
      <w:pPr>
        <w:pStyle w:val="ListBullet"/>
        <w:spacing w:after="40"/>
        <w:ind w:left="576"/>
      </w:pPr>
      <w:r>
        <w:rPr>
          <w:rFonts w:ascii="Arial" w:hAnsi="Arial"/>
          <w:b/>
          <w:i w:val="0"/>
          <w:sz w:val="20"/>
        </w:rPr>
        <w:t xml:space="preserve">Campaign Link Builder: </w:t>
      </w:r>
      <w:r>
        <w:rPr>
          <w:rFonts w:ascii="Arial" w:hAnsi="Arial"/>
          <w:b w:val="0"/>
          <w:i w:val="0"/>
          <w:sz w:val="20"/>
        </w:rPr>
        <w:t>Select any specialist in the network to generate custom referral links. Copies pre-tagged campaign slugs (e.g. ?ref=doctor_name) linking to the main B2C home page or their specialist directory profile.</w:t>
      </w:r>
    </w:p>
    <w:p>
      <w:pPr>
        <w:pStyle w:val="ListBullet"/>
        <w:spacing w:after="40"/>
        <w:ind w:left="576"/>
      </w:pPr>
      <w:r>
        <w:rPr>
          <w:rFonts w:ascii="Arial" w:hAnsi="Arial"/>
          <w:b/>
          <w:i w:val="0"/>
          <w:sz w:val="20"/>
        </w:rPr>
        <w:t xml:space="preserve">Leaderboard Metrics: </w:t>
      </w:r>
      <w:r>
        <w:rPr>
          <w:rFonts w:ascii="Arial" w:hAnsi="Arial"/>
          <w:b w:val="0"/>
          <w:i w:val="0"/>
          <w:sz w:val="20"/>
        </w:rPr>
        <w:t>Ranks specialists by referred registrations, completed client quizzes, and active signups.</w:t>
      </w:r>
    </w:p>
    <w:p>
      <w:pPr>
        <w:pStyle w:val="ListBullet"/>
        <w:spacing w:after="40"/>
        <w:ind w:left="576"/>
      </w:pPr>
      <w:r>
        <w:rPr>
          <w:rFonts w:ascii="Arial" w:hAnsi="Arial"/>
          <w:b/>
          <w:i w:val="0"/>
          <w:sz w:val="20"/>
        </w:rPr>
        <w:t xml:space="preserve">Transaction Audits: </w:t>
      </w:r>
      <w:r>
        <w:rPr>
          <w:rFonts w:ascii="Arial" w:hAnsi="Arial"/>
          <w:b w:val="0"/>
          <w:i w:val="0"/>
          <w:sz w:val="20"/>
        </w:rPr>
        <w:t>A real-time ledger auditing referred signups, showing dates, emails, category types, and attributing specialist codes.</w:t>
      </w:r>
    </w:p>
    <w:p>
      <w:pPr>
        <w:pStyle w:val="Heading2"/>
        <w:spacing w:before="240" w:after="80"/>
      </w:pPr>
      <w:r>
        <w:rPr>
          <w:rFonts w:ascii="Arial" w:hAnsi="Arial"/>
          <w:b/>
          <w:i w:val="0"/>
          <w:color w:val="8B1A1A"/>
          <w:sz w:val="28"/>
        </w:rPr>
        <w:t>5. Content Management (Manage News &amp; Categories)</w:t>
      </w:r>
    </w:p>
    <w:p>
      <w:r>
        <w:rPr>
          <w:rFonts w:ascii="Arial" w:hAnsi="Arial"/>
          <w:b w:val="0"/>
          <w:i w:val="0"/>
          <w:sz w:val="20"/>
        </w:rPr>
        <w:t>Admins can publish updates, news, and research to the B2C frontend. Navigate to 'Manage News' to draft articles, select publishing dates, upload thumbnails, and edit body content. Use 'Manage Categories' to create content tags (e.g. 'Women's Health', 'Cardiology') that help users search and filter articles.</w:t>
      </w:r>
    </w:p>
    <w:p>
      <w:pPr>
        <w:pStyle w:val="Heading2"/>
        <w:spacing w:before="240" w:after="80"/>
      </w:pPr>
      <w:r>
        <w:rPr>
          <w:rFonts w:ascii="Arial" w:hAnsi="Arial"/>
          <w:b/>
          <w:i w:val="0"/>
          <w:color w:val="8B1A1A"/>
          <w:sz w:val="28"/>
        </w:rPr>
        <w:t>6. Cloud Storage &amp; Library Uploads (Onboarding Resources)</w:t>
      </w:r>
    </w:p>
    <w:p>
      <w:r>
        <w:rPr>
          <w:rFonts w:ascii="Arial" w:hAnsi="Arial"/>
          <w:b w:val="0"/>
          <w:i w:val="0"/>
          <w:sz w:val="20"/>
        </w:rPr>
        <w:t>The partner resource explorer merges static PDF guides with files uploaded directly by admins. Under any training page (Start Here, Academy, Testing, Protocols, or Zinzino):</w:t>
      </w:r>
    </w:p>
    <w:p>
      <w:pPr>
        <w:pStyle w:val="ListBullet"/>
        <w:spacing w:after="40"/>
        <w:ind w:left="576"/>
      </w:pPr>
      <w:r>
        <w:rPr>
          <w:rFonts w:ascii="Arial" w:hAnsi="Arial"/>
          <w:b/>
          <w:i w:val="0"/>
          <w:sz w:val="20"/>
        </w:rPr>
        <w:t xml:space="preserve">Upload Console: </w:t>
      </w:r>
      <w:r>
        <w:rPr>
          <w:rFonts w:ascii="Arial" w:hAnsi="Arial"/>
          <w:b w:val="0"/>
          <w:i w:val="0"/>
          <w:sz w:val="20"/>
        </w:rPr>
        <w:t>Admins automatically see the document uploader panel on dynamic directories. Supported files: PDFs, DOCX, XLSX, and MP4 videos. Enforces a client-size limit of 100MB per file.</w:t>
      </w:r>
    </w:p>
    <w:p>
      <w:pPr>
        <w:pStyle w:val="ListBullet"/>
        <w:spacing w:after="40"/>
        <w:ind w:left="576"/>
      </w:pPr>
      <w:r>
        <w:rPr>
          <w:rFonts w:ascii="Arial" w:hAnsi="Arial"/>
          <w:b/>
          <w:i w:val="0"/>
          <w:sz w:val="20"/>
        </w:rPr>
        <w:t xml:space="preserve">Supabase Storage: </w:t>
      </w:r>
      <w:r>
        <w:rPr>
          <w:rFonts w:ascii="Arial" w:hAnsi="Arial"/>
          <w:b w:val="0"/>
          <w:i w:val="0"/>
          <w:sz w:val="20"/>
        </w:rPr>
        <w:t>Files are stored in the secure 'partner-resources' bucket and public database records are created.</w:t>
      </w:r>
    </w:p>
    <w:p>
      <w:pPr>
        <w:pStyle w:val="ListBullet"/>
        <w:spacing w:after="40"/>
        <w:ind w:left="576"/>
      </w:pPr>
      <w:r>
        <w:rPr>
          <w:rFonts w:ascii="Arial" w:hAnsi="Arial"/>
          <w:b/>
          <w:i w:val="0"/>
          <w:sz w:val="20"/>
        </w:rPr>
        <w:t xml:space="preserve">Resource Deletion: </w:t>
      </w:r>
      <w:r>
        <w:rPr>
          <w:rFonts w:ascii="Arial" w:hAnsi="Arial"/>
          <w:b w:val="0"/>
          <w:i w:val="0"/>
          <w:sz w:val="20"/>
        </w:rPr>
        <w:t>Click the trash icon next to custom uploads to delete the database entry and purge the file from the storage bucket. Admins can also delete static defaults to hide outdated resources, tracked locally by browser cache exclusions.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