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8B1A1A"/>
          <w:sz w:val="48"/>
        </w:rPr>
        <w:t>TESTBASED NUTRITION (TBN)</w:t>
        <w:br/>
      </w:r>
    </w:p>
    <w:p>
      <w:pPr>
        <w:spacing w:after="720"/>
        <w:jc w:val="center"/>
      </w:pPr>
      <w:r>
        <w:rPr>
          <w:rFonts w:ascii="Arial" w:hAnsi="Arial"/>
          <w:b w:val="0"/>
          <w:i/>
          <w:color w:val="646464"/>
          <w:sz w:val="28"/>
        </w:rPr>
        <w:t>Partner Clinic &amp; Health Practitioner User Guide</w:t>
      </w:r>
    </w:p>
    <w:p>
      <w:pPr>
        <w:pStyle w:val="Heading1"/>
        <w:spacing w:before="240" w:after="120"/>
      </w:pPr>
      <w:r>
        <w:rPr>
          <w:rFonts w:ascii="Arial" w:hAnsi="Arial"/>
          <w:b/>
          <w:i w:val="0"/>
          <w:color w:val="8B1A1A"/>
          <w:sz w:val="36"/>
        </w:rPr>
        <w:t>Welcome to the TBN Partner Network</w:t>
      </w:r>
    </w:p>
    <w:p>
      <w:r>
        <w:rPr>
          <w:rFonts w:ascii="Arial" w:hAnsi="Arial"/>
          <w:b w:val="0"/>
          <w:i w:val="0"/>
          <w:sz w:val="20"/>
        </w:rPr>
        <w:t>Welcome, Partner! The TestBased Nutrition (TBN) portal is your personal dashboard for clinic growth, clinical training, resource libraries, and client CRM management. Our method is built on objective testing data: Test. Target. Transform. This guide walks you through using the portal to build your practice, manage client leads, complete academy credentials, and review referral commissions.</w:t>
      </w:r>
    </w:p>
    <w:p>
      <w:pPr>
        <w:pStyle w:val="Heading2"/>
        <w:spacing w:before="240" w:after="80"/>
      </w:pPr>
      <w:r>
        <w:rPr>
          <w:rFonts w:ascii="Arial" w:hAnsi="Arial"/>
          <w:b/>
          <w:i w:val="0"/>
          <w:color w:val="8B1A1A"/>
          <w:sz w:val="28"/>
        </w:rPr>
        <w:t>1. Portal Dashboard &amp; Onboarding Checklist (Start Here)</w:t>
      </w:r>
    </w:p>
    <w:p>
      <w:r>
        <w:rPr>
          <w:rFonts w:ascii="Arial" w:hAnsi="Arial"/>
          <w:b w:val="0"/>
          <w:i w:val="0"/>
          <w:sz w:val="20"/>
        </w:rPr>
        <w:t>Upon logging in, you land on the 4x2 modules dashboard. At the top of your workspace, you will see your progress stepper tracking four stages: Learn, Launch, Grow, Lead.</w:t>
      </w:r>
    </w:p>
    <w:p>
      <w:pPr>
        <w:pStyle w:val="ListBullet"/>
        <w:spacing w:after="40"/>
        <w:ind w:left="576"/>
      </w:pPr>
      <w:r>
        <w:rPr>
          <w:rFonts w:ascii="Arial" w:hAnsi="Arial"/>
          <w:b/>
          <w:i w:val="0"/>
          <w:sz w:val="20"/>
        </w:rPr>
        <w:t xml:space="preserve">Start Here: </w:t>
      </w:r>
      <w:r>
        <w:rPr>
          <w:rFonts w:ascii="Arial" w:hAnsi="Arial"/>
          <w:b w:val="0"/>
          <w:i w:val="0"/>
          <w:sz w:val="20"/>
        </w:rPr>
        <w:t>Navigate to the first tile. The split-pane layout guides you through 6 core onboarding lessons. Check items off your checklist, and mark lessons as complete to update your dashboard status bar.</w:t>
      </w:r>
    </w:p>
    <w:p>
      <w:pPr>
        <w:pStyle w:val="ListBullet"/>
        <w:spacing w:after="40"/>
        <w:ind w:left="576"/>
      </w:pPr>
      <w:r>
        <w:rPr>
          <w:rFonts w:ascii="Arial" w:hAnsi="Arial"/>
          <w:b/>
          <w:i w:val="0"/>
          <w:sz w:val="20"/>
        </w:rPr>
        <w:t xml:space="preserve">My Plans: </w:t>
      </w:r>
      <w:r>
        <w:rPr>
          <w:rFonts w:ascii="Arial" w:hAnsi="Arial"/>
          <w:b w:val="0"/>
          <w:i w:val="0"/>
          <w:sz w:val="20"/>
        </w:rPr>
        <w:t>Track target timelines, set clinic launches, and customize next actions.</w:t>
      </w:r>
    </w:p>
    <w:p>
      <w:pPr>
        <w:pStyle w:val="Heading2"/>
        <w:spacing w:before="240" w:after="80"/>
      </w:pPr>
      <w:r>
        <w:rPr>
          <w:rFonts w:ascii="Arial" w:hAnsi="Arial"/>
          <w:b/>
          <w:i w:val="0"/>
          <w:color w:val="8B1A1A"/>
          <w:sz w:val="28"/>
        </w:rPr>
        <w:t>2. TBN Academy &amp; Testing Hub (Training Modules)</w:t>
      </w:r>
    </w:p>
    <w:p>
      <w:r>
        <w:rPr>
          <w:rFonts w:ascii="Arial" w:hAnsi="Arial"/>
          <w:b w:val="0"/>
          <w:i w:val="0"/>
          <w:sz w:val="20"/>
        </w:rPr>
        <w:t>The Academy is where you build clinical confidence. You must complete core training and testing certifications before offering TBN services to the public:</w:t>
      </w:r>
    </w:p>
    <w:p>
      <w:pPr>
        <w:pStyle w:val="ListBullet"/>
        <w:spacing w:after="40"/>
        <w:ind w:left="576"/>
      </w:pPr>
      <w:r>
        <w:rPr>
          <w:rFonts w:ascii="Arial" w:hAnsi="Arial"/>
          <w:b/>
          <w:i w:val="0"/>
          <w:sz w:val="20"/>
        </w:rPr>
        <w:t xml:space="preserve">Core Training: </w:t>
      </w:r>
      <w:r>
        <w:rPr>
          <w:rFonts w:ascii="Arial" w:hAnsi="Arial"/>
          <w:b w:val="0"/>
          <w:i w:val="0"/>
          <w:sz w:val="20"/>
        </w:rPr>
        <w:t>Covering TBN foundations, consultation skills, results reviews, and compliance. Watch webinars, study slides, and complete the module quizzes. Quizzes require an 80% score to pass.</w:t>
      </w:r>
    </w:p>
    <w:p>
      <w:pPr>
        <w:pStyle w:val="ListBullet"/>
        <w:spacing w:after="40"/>
        <w:ind w:left="576"/>
      </w:pPr>
      <w:r>
        <w:rPr>
          <w:rFonts w:ascii="Arial" w:hAnsi="Arial"/>
          <w:b/>
          <w:i w:val="0"/>
          <w:sz w:val="20"/>
        </w:rPr>
        <w:t xml:space="preserve">Testing Hub: </w:t>
      </w:r>
      <w:r>
        <w:rPr>
          <w:rFonts w:ascii="Arial" w:hAnsi="Arial"/>
          <w:b w:val="0"/>
          <w:i w:val="0"/>
          <w:sz w:val="20"/>
        </w:rPr>
        <w:t>Find instructions, preparation guidelines, and shipping protocols for all in-clinic, finger-prick, and phlebotomy lab tests (such as Vitamin D, HbA1c, Ferritin, Cortisol, and FSH).</w:t>
      </w:r>
    </w:p>
    <w:p>
      <w:pPr>
        <w:pStyle w:val="ListBullet"/>
        <w:spacing w:after="40"/>
        <w:ind w:left="576"/>
      </w:pPr>
      <w:r>
        <w:rPr>
          <w:rFonts w:ascii="Arial" w:hAnsi="Arial"/>
          <w:b/>
          <w:i w:val="0"/>
          <w:sz w:val="20"/>
        </w:rPr>
        <w:t xml:space="preserve">Zinzino Training: </w:t>
      </w:r>
      <w:r>
        <w:rPr>
          <w:rFonts w:ascii="Arial" w:hAnsi="Arial"/>
          <w:b w:val="0"/>
          <w:i w:val="0"/>
          <w:sz w:val="20"/>
        </w:rPr>
        <w:t>Learn product lines (BalanceOil+, ZinoBiotic+), compensation routes, and Fast Start goals (securing 25 client subscriptions in your first 90 days).</w:t>
      </w:r>
    </w:p>
    <w:p>
      <w:pPr>
        <w:pStyle w:val="Heading2"/>
        <w:spacing w:before="240" w:after="80"/>
      </w:pPr>
      <w:r>
        <w:rPr>
          <w:rFonts w:ascii="Arial" w:hAnsi="Arial"/>
          <w:b/>
          <w:i w:val="0"/>
          <w:color w:val="8B1A1A"/>
          <w:sz w:val="28"/>
        </w:rPr>
        <w:t>3. Clinical Protocols &amp; Library (Pathways &amp; Protocol Hub)</w:t>
      </w:r>
    </w:p>
    <w:p>
      <w:r>
        <w:rPr>
          <w:rFonts w:ascii="Arial" w:hAnsi="Arial"/>
          <w:b w:val="0"/>
          <w:i w:val="0"/>
          <w:sz w:val="20"/>
        </w:rPr>
        <w:t>The Protocols Library contains clinical data templates. Tap 'Protocol Hub' or 'Pathways Hub' in the sidebar:</w:t>
      </w:r>
    </w:p>
    <w:p>
      <w:pPr>
        <w:pStyle w:val="ListBullet"/>
        <w:spacing w:after="40"/>
        <w:ind w:left="576"/>
      </w:pPr>
      <w:r>
        <w:rPr>
          <w:rFonts w:ascii="Arial" w:hAnsi="Arial"/>
          <w:b/>
          <w:i w:val="0"/>
          <w:sz w:val="20"/>
        </w:rPr>
        <w:t xml:space="preserve">7 Health Categories: </w:t>
      </w:r>
      <w:r>
        <w:rPr>
          <w:rFonts w:ascii="Arial" w:hAnsi="Arial"/>
          <w:b w:val="0"/>
          <w:i w:val="0"/>
          <w:sz w:val="20"/>
        </w:rPr>
        <w:t>Explore protocols for Women's Health, Men's Health, Children's Health, Skin Health, Pain &amp; Inflammation, Neurodivergence, and Sports Performance.</w:t>
      </w:r>
    </w:p>
    <w:p>
      <w:pPr>
        <w:pStyle w:val="ListBullet"/>
        <w:spacing w:after="40"/>
        <w:ind w:left="576"/>
      </w:pPr>
      <w:r>
        <w:rPr>
          <w:rFonts w:ascii="Arial" w:hAnsi="Arial"/>
          <w:b/>
          <w:i w:val="0"/>
          <w:sz w:val="20"/>
        </w:rPr>
        <w:t xml:space="preserve">50+ Sub-Pathways: </w:t>
      </w:r>
      <w:r>
        <w:rPr>
          <w:rFonts w:ascii="Arial" w:hAnsi="Arial"/>
          <w:b w:val="0"/>
          <w:i w:val="0"/>
          <w:sz w:val="20"/>
        </w:rPr>
        <w:t>Includes step-by-step preparation, testing codes, results reviews, and supplement guidance for conditions like Eczema, Male Fertility, ADHD Support, or Chronic Pain.</w:t>
      </w:r>
    </w:p>
    <w:p>
      <w:pPr>
        <w:pStyle w:val="ListBullet"/>
        <w:spacing w:after="40"/>
        <w:ind w:left="576"/>
      </w:pPr>
      <w:r>
        <w:rPr>
          <w:rFonts w:ascii="Arial" w:hAnsi="Arial"/>
          <w:b/>
          <w:i w:val="0"/>
          <w:sz w:val="20"/>
        </w:rPr>
        <w:t xml:space="preserve">One-Click Bulk Downloads: </w:t>
      </w:r>
      <w:r>
        <w:rPr>
          <w:rFonts w:ascii="Arial" w:hAnsi="Arial"/>
          <w:b w:val="0"/>
          <w:i w:val="0"/>
          <w:sz w:val="20"/>
        </w:rPr>
        <w:t>Click 'Download Folder ZIP' to instantly package and download all files (PDF guides, templates, posters) within a module for offline use in your clinic.</w:t>
      </w:r>
    </w:p>
    <w:p>
      <w:pPr>
        <w:pStyle w:val="ListBullet"/>
        <w:spacing w:after="40"/>
        <w:ind w:left="576"/>
      </w:pPr>
      <w:r>
        <w:rPr>
          <w:rFonts w:ascii="Arial" w:hAnsi="Arial"/>
          <w:b/>
          <w:i w:val="0"/>
          <w:sz w:val="20"/>
        </w:rPr>
        <w:t xml:space="preserve">Accessing Files: </w:t>
      </w:r>
      <w:r>
        <w:rPr>
          <w:rFonts w:ascii="Arial" w:hAnsi="Arial"/>
          <w:b w:val="0"/>
          <w:i w:val="0"/>
          <w:sz w:val="20"/>
        </w:rPr>
        <w:t>Click 'View File' on any explorer link to instantly preview the PDF or file in your browser, or 'Download' to save it.</w:t>
      </w:r>
    </w:p>
    <w:p>
      <w:pPr>
        <w:pStyle w:val="Heading2"/>
        <w:spacing w:before="240" w:after="80"/>
      </w:pPr>
      <w:r>
        <w:rPr>
          <w:rFonts w:ascii="Arial" w:hAnsi="Arial"/>
          <w:b/>
          <w:i w:val="0"/>
          <w:color w:val="8B1A1A"/>
          <w:sz w:val="28"/>
        </w:rPr>
        <w:t>4. Marketing Hub &amp; AI Prompts (Grow Business)</w:t>
      </w:r>
    </w:p>
    <w:p>
      <w:r>
        <w:rPr>
          <w:rFonts w:ascii="Arial" w:hAnsi="Arial"/>
          <w:b w:val="0"/>
          <w:i w:val="0"/>
          <w:sz w:val="20"/>
        </w:rPr>
        <w:t>The Marketing Hub gives you a complete clinic promotion toolkit. No marketing experience needed:</w:t>
      </w:r>
    </w:p>
    <w:p>
      <w:pPr>
        <w:pStyle w:val="ListBullet"/>
        <w:spacing w:after="40"/>
        <w:ind w:left="576"/>
      </w:pPr>
      <w:r>
        <w:rPr>
          <w:rFonts w:ascii="Arial" w:hAnsi="Arial"/>
          <w:b/>
          <w:i w:val="0"/>
          <w:sz w:val="20"/>
        </w:rPr>
        <w:t xml:space="preserve">Client Acquisition Campaigns: </w:t>
      </w:r>
      <w:r>
        <w:rPr>
          <w:rFonts w:ascii="Arial" w:hAnsi="Arial"/>
          <w:b w:val="0"/>
          <w:i w:val="0"/>
          <w:sz w:val="20"/>
        </w:rPr>
        <w:t>Download ready-made email templates, WhatsApp messages, and print-ready clinic posters for local awareness, workshop nights, and hub days.</w:t>
      </w:r>
    </w:p>
    <w:p>
      <w:pPr>
        <w:pStyle w:val="ListBullet"/>
        <w:spacing w:after="40"/>
        <w:ind w:left="576"/>
      </w:pPr>
      <w:r>
        <w:rPr>
          <w:rFonts w:ascii="Arial" w:hAnsi="Arial"/>
          <w:b/>
          <w:i w:val="0"/>
          <w:sz w:val="20"/>
        </w:rPr>
        <w:t xml:space="preserve">Scripts &amp; Conversation Guides: </w:t>
      </w:r>
      <w:r>
        <w:rPr>
          <w:rFonts w:ascii="Arial" w:hAnsi="Arial"/>
          <w:b w:val="0"/>
          <w:i w:val="0"/>
          <w:sz w:val="20"/>
        </w:rPr>
        <w:t>Get discovery call templates, mid-treatment upgrade scripts, and retest reminder workflows to convert clients to long-term plans.</w:t>
      </w:r>
    </w:p>
    <w:p>
      <w:pPr>
        <w:pStyle w:val="ListBullet"/>
        <w:spacing w:after="40"/>
        <w:ind w:left="576"/>
      </w:pPr>
      <w:r>
        <w:rPr>
          <w:rFonts w:ascii="Arial" w:hAnsi="Arial"/>
          <w:b/>
          <w:i w:val="0"/>
          <w:sz w:val="20"/>
        </w:rPr>
        <w:t xml:space="preserve">AI Content Creator Prompts: </w:t>
      </w:r>
      <w:r>
        <w:rPr>
          <w:rFonts w:ascii="Arial" w:hAnsi="Arial"/>
          <w:b w:val="0"/>
          <w:i w:val="0"/>
          <w:sz w:val="20"/>
        </w:rPr>
        <w:t>Copy pre-tested ChatGPT prompts tailored to your specialization to draft custom social media posts, newsletters, and blog articles instantly.</w:t>
      </w:r>
    </w:p>
    <w:p>
      <w:pPr>
        <w:pStyle w:val="Heading2"/>
        <w:spacing w:before="240" w:after="80"/>
      </w:pPr>
      <w:r>
        <w:rPr>
          <w:rFonts w:ascii="Arial" w:hAnsi="Arial"/>
          <w:b/>
          <w:i w:val="0"/>
          <w:color w:val="8B1A1A"/>
          <w:sz w:val="28"/>
        </w:rPr>
        <w:t>5. Directory Profile Management (My Profile)</w:t>
      </w:r>
    </w:p>
    <w:p>
      <w:r>
        <w:rPr>
          <w:rFonts w:ascii="Arial" w:hAnsi="Arial"/>
          <w:b w:val="0"/>
          <w:i w:val="0"/>
          <w:sz w:val="20"/>
        </w:rPr>
        <w:t>To customize your presence in the public Specialists Directory, navigate to 'My Profile'. Here you can edit your clinic location, certifications, services, and profile picture. Provide a short summary bio and expert quotes. To ensure page readability, quotes and testimonials are programmatically capped at 50 words on your public profile card.</w:t>
      </w:r>
    </w:p>
    <w:p>
      <w:pPr>
        <w:pStyle w:val="Heading2"/>
        <w:spacing w:before="240" w:after="80"/>
      </w:pPr>
      <w:r>
        <w:rPr>
          <w:rFonts w:ascii="Arial" w:hAnsi="Arial"/>
          <w:b/>
          <w:i w:val="0"/>
          <w:color w:val="8B1A1A"/>
          <w:sz w:val="28"/>
        </w:rPr>
        <w:t>6. Client Leads Dashboard &amp; CRM Deal Board (Manage Leads)</w:t>
      </w:r>
    </w:p>
    <w:p>
      <w:r>
        <w:rPr>
          <w:rFonts w:ascii="Arial" w:hAnsi="Arial"/>
          <w:b w:val="0"/>
          <w:i w:val="0"/>
          <w:sz w:val="20"/>
        </w:rPr>
        <w:t>When public users complete the Health Goals Quiz or submit bookings on your profile page, they are automatically logged in your Leads Dashboard under your partner code. Admins can also assign leads directly to your clinic.</w:t>
      </w:r>
    </w:p>
    <w:p>
      <w:pPr>
        <w:pStyle w:val="ListBullet"/>
        <w:spacing w:after="40"/>
        <w:ind w:left="576"/>
      </w:pPr>
      <w:r>
        <w:rPr>
          <w:rFonts w:ascii="Arial" w:hAnsi="Arial"/>
          <w:b/>
          <w:i w:val="0"/>
          <w:sz w:val="20"/>
        </w:rPr>
        <w:t xml:space="preserve">CRM Deal Board: </w:t>
      </w:r>
      <w:r>
        <w:rPr>
          <w:rFonts w:ascii="Arial" w:hAnsi="Arial"/>
          <w:b w:val="0"/>
          <w:i w:val="0"/>
          <w:sz w:val="20"/>
        </w:rPr>
        <w:t>A personalized Kanban board containing clients assigned to you. Drag client deal cards from 'Lead' -&gt; 'Contacted' -&gt; 'Meeting Scheduled' -&gt; 'Active Patient' as you move them through consultations.</w:t>
      </w:r>
    </w:p>
    <w:p>
      <w:pPr>
        <w:pStyle w:val="ListBullet"/>
        <w:spacing w:after="40"/>
        <w:ind w:left="576"/>
      </w:pPr>
      <w:r>
        <w:rPr>
          <w:rFonts w:ascii="Arial" w:hAnsi="Arial"/>
          <w:b/>
          <w:i w:val="0"/>
          <w:sz w:val="20"/>
        </w:rPr>
        <w:t xml:space="preserve">Client Records: </w:t>
      </w:r>
      <w:r>
        <w:rPr>
          <w:rFonts w:ascii="Arial" w:hAnsi="Arial"/>
          <w:b w:val="0"/>
          <w:i w:val="0"/>
          <w:sz w:val="20"/>
        </w:rPr>
        <w:t>Click a deal to add notes from consultation calls, update dates, or review their selected pathway goals. Partners are restricted to editing their own deals only to ensure client privacy.</w:t>
      </w:r>
    </w:p>
    <w:p>
      <w:pPr>
        <w:pStyle w:val="ListBullet"/>
        <w:spacing w:after="40"/>
        <w:ind w:left="576"/>
      </w:pPr>
      <w:r>
        <w:rPr>
          <w:rFonts w:ascii="Arial" w:hAnsi="Arial"/>
          <w:b/>
          <w:i w:val="0"/>
          <w:sz w:val="20"/>
        </w:rPr>
        <w:t xml:space="preserve">New Deals: </w:t>
      </w:r>
      <w:r>
        <w:rPr>
          <w:rFonts w:ascii="Arial" w:hAnsi="Arial"/>
          <w:b w:val="0"/>
          <w:i w:val="0"/>
          <w:sz w:val="20"/>
        </w:rPr>
        <w:t>Manually add walk-in clients to your pipeline. New deals are automatically assigned to your practitioner profile.</w:t>
      </w:r>
    </w:p>
    <w:p>
      <w:pPr>
        <w:pStyle w:val="Heading2"/>
        <w:spacing w:before="240" w:after="80"/>
      </w:pPr>
      <w:r>
        <w:rPr>
          <w:rFonts w:ascii="Arial" w:hAnsi="Arial"/>
          <w:b/>
          <w:i w:val="0"/>
          <w:color w:val="8B1A1A"/>
          <w:sz w:val="28"/>
        </w:rPr>
        <w:t>7. Custom Referral Links &amp; Commission tracking</w:t>
      </w:r>
    </w:p>
    <w:p>
      <w:r>
        <w:rPr>
          <w:rFonts w:ascii="Arial" w:hAnsi="Arial"/>
          <w:b w:val="0"/>
          <w:i w:val="0"/>
          <w:sz w:val="20"/>
        </w:rPr>
        <w:t>Referrals drive recurring income. Under 'My Referrals' or 'Edit Profile', you can manage and share your custom link structure:</w:t>
      </w:r>
    </w:p>
    <w:p>
      <w:pPr>
        <w:pStyle w:val="ListBullet"/>
        <w:spacing w:after="40"/>
        <w:ind w:left="576"/>
      </w:pPr>
      <w:r>
        <w:rPr>
          <w:rFonts w:ascii="Arial" w:hAnsi="Arial"/>
          <w:b/>
          <w:i w:val="0"/>
          <w:sz w:val="20"/>
        </w:rPr>
        <w:t xml:space="preserve">Custom Referral Code: </w:t>
      </w:r>
      <w:r>
        <w:rPr>
          <w:rFonts w:ascii="Arial" w:hAnsi="Arial"/>
          <w:b w:val="0"/>
          <w:i w:val="0"/>
          <w:sz w:val="20"/>
        </w:rPr>
        <w:t>Set a clean, memorable affiliate code (e.g. 'doctor_emma'). Codes are checked for uniqueness in the database.</w:t>
      </w:r>
    </w:p>
    <w:p>
      <w:pPr>
        <w:pStyle w:val="ListBullet"/>
        <w:spacing w:after="40"/>
        <w:ind w:left="576"/>
      </w:pPr>
      <w:r>
        <w:rPr>
          <w:rFonts w:ascii="Arial" w:hAnsi="Arial"/>
          <w:b/>
          <w:i w:val="0"/>
          <w:sz w:val="20"/>
        </w:rPr>
        <w:t xml:space="preserve">Professional Shortlinks: </w:t>
      </w:r>
      <w:r>
        <w:rPr>
          <w:rFonts w:ascii="Arial" w:hAnsi="Arial"/>
          <w:b w:val="0"/>
          <w:i w:val="0"/>
          <w:sz w:val="20"/>
        </w:rPr>
        <w:t>Copy campaign links to send to clients or post on social media. Links direct users to the B2C home page (?ref=code) or directly to your clinic booking page (?ref=code).</w:t>
      </w:r>
    </w:p>
    <w:p>
      <w:pPr>
        <w:pStyle w:val="ListBullet"/>
        <w:spacing w:after="40"/>
        <w:ind w:left="576"/>
      </w:pPr>
      <w:r>
        <w:rPr>
          <w:rFonts w:ascii="Arial" w:hAnsi="Arial"/>
          <w:b/>
          <w:i w:val="0"/>
          <w:sz w:val="20"/>
        </w:rPr>
        <w:t xml:space="preserve">Attribution tracking: </w:t>
      </w:r>
      <w:r>
        <w:rPr>
          <w:rFonts w:ascii="Arial" w:hAnsi="Arial"/>
          <w:b w:val="0"/>
          <w:i w:val="0"/>
          <w:sz w:val="20"/>
        </w:rPr>
        <w:t>When users click your links, a tracker cookie caches your ID. Leads from contact forms, quiz completions, and bookings are attributed to your account automatically.</w:t>
      </w:r>
    </w:p>
    <w:p>
      <w:pPr>
        <w:pStyle w:val="ListBullet"/>
        <w:spacing w:after="40"/>
        <w:ind w:left="576"/>
      </w:pPr>
      <w:r>
        <w:rPr>
          <w:rFonts w:ascii="Arial" w:hAnsi="Arial"/>
          <w:b/>
          <w:i w:val="0"/>
          <w:sz w:val="20"/>
        </w:rPr>
        <w:t xml:space="preserve">Subscription Income: </w:t>
      </w:r>
      <w:r>
        <w:rPr>
          <w:rFonts w:ascii="Arial" w:hAnsi="Arial"/>
          <w:b w:val="0"/>
          <w:i w:val="0"/>
          <w:sz w:val="20"/>
        </w:rPr>
        <w:t>Track client product purchases and monthly retest cycles (120 days) directly from your Zinzino partner portal link.</w:t>
      </w:r>
    </w:p>
    <w:p>
      <w:pPr>
        <w:pStyle w:val="Heading2"/>
        <w:spacing w:before="240" w:after="80"/>
      </w:pPr>
      <w:r>
        <w:rPr>
          <w:rFonts w:ascii="Arial" w:hAnsi="Arial"/>
          <w:b/>
          <w:i w:val="0"/>
          <w:color w:val="8B1A1A"/>
          <w:sz w:val="28"/>
        </w:rPr>
        <w:t>8. MLM Team Downline Tree (Team Downline)</w:t>
      </w:r>
    </w:p>
    <w:p>
      <w:r>
        <w:rPr>
          <w:rFonts w:ascii="Arial" w:hAnsi="Arial"/>
          <w:b w:val="0"/>
          <w:i w:val="0"/>
          <w:sz w:val="20"/>
        </w:rPr>
        <w:t>As you grow your network, you can onboard and mentor other clinics. Select 'Team Downline' in the sidebar to view your organizational structure. The recursive visual tree maps your sponsored clinics, generation tiers, practitioner ranks, and active monthly enrollment volumes, making it easy to track regional performance commissions.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