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i w:val="0"/>
          <w:color w:val="8B1A1A"/>
          <w:sz w:val="48"/>
        </w:rPr>
        <w:t>TESTBASED NUTRITION (TBN)</w:t>
        <w:br/>
      </w:r>
    </w:p>
    <w:p>
      <w:pPr>
        <w:spacing w:after="480"/>
        <w:jc w:val="center"/>
      </w:pPr>
      <w:r>
        <w:rPr>
          <w:rFonts w:ascii="Arial" w:hAnsi="Arial"/>
          <w:b w:val="0"/>
          <w:i/>
          <w:color w:val="646464"/>
          <w:sz w:val="28"/>
        </w:rPr>
        <w:t>Ecosystem Architecture &amp; Master Documentation</w:t>
      </w:r>
    </w:p>
    <w:p>
      <w:pPr>
        <w:spacing w:after="400"/>
        <w:jc w:val="center"/>
      </w:pPr>
      <w:r>
        <w:rPr>
          <w:rFonts w:ascii="Arial" w:hAnsi="Arial"/>
          <w:b w:val="0"/>
          <w:i w:val="0"/>
          <w:color w:val="C8C8C8"/>
          <w:sz w:val="20"/>
        </w:rPr>
        <w:t>____________________________________________________</w:t>
      </w:r>
    </w:p>
    <w:p>
      <w:r>
        <w:rPr>
          <w:rFonts w:ascii="Arial" w:hAnsi="Arial"/>
          <w:b w:val="0"/>
          <w:i w:val="0"/>
          <w:sz w:val="20"/>
        </w:rPr>
        <w:t>This document contains the complete structural overview of the TestBased Nutrition (TBN) ecosystem. This platform integrates the B2C Customer Portal with the B2B administrative back-office, automating practitioner onboarding, client leads tracking, CRM pipeline deals, and self-hosted traffic analytics.</w:t>
      </w:r>
    </w:p>
    <w:p>
      <w:pPr>
        <w:pStyle w:val="Heading1"/>
        <w:spacing w:before="280" w:after="120"/>
      </w:pPr>
      <w:r>
        <w:rPr>
          <w:rFonts w:ascii="Arial" w:hAnsi="Arial"/>
          <w:b/>
          <w:i w:val="0"/>
          <w:color w:val="8B1A1A"/>
          <w:sz w:val="36"/>
        </w:rPr>
        <w:t>Ecosystem Overview &amp; Architecture</w:t>
      </w:r>
    </w:p>
    <w:p>
      <w:pPr>
        <w:spacing w:after="160"/>
      </w:pPr>
      <w:r>
        <w:rPr>
          <w:rFonts w:ascii="Arial" w:hAnsi="Arial"/>
          <w:b w:val="0"/>
          <w:i/>
          <w:sz w:val="20"/>
        </w:rPr>
        <w:t>Below is the structural data flow between the public B2C app, the B2B Partner Portal, and the shared 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8B1A1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TBN ECOSYSTEM DATA FLOW</w:t>
            </w:r>
          </w:p>
        </w:tc>
      </w:tr>
      <w:tr>
        <w:tc>
          <w:tcPr>
            <w:tcW w:type="dxa" w:w="4680"/>
            <w:shd w:val="clear" w:color="auto" w:fill="F7F5F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8B1A1A"/>
                <w:sz w:val="20"/>
              </w:rPr>
              <w:t>Public B2C Frontend App</w:t>
            </w:r>
          </w:p>
        </w:tc>
        <w:tc>
          <w:tcPr>
            <w:tcW w:type="dxa" w:w="4680"/>
            <w:shd w:val="clear" w:color="auto" w:fill="F7F5F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8B1A1A"/>
                <w:sz w:val="20"/>
              </w:rPr>
              <w:t>B2B Partner Portal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i w:val="0"/>
                <w:sz w:val="19"/>
              </w:rPr>
              <w:t>- Clinical Pathways (Sends pageviews)</w:t>
              <w:br/>
              <w:t>- Specialists Directory (Searches profiles)</w:t>
              <w:br/>
              <w:t>- B2C Health Goals Quiz (Saves quiz leads)</w:t>
              <w:br/>
              <w:t>- Route Tracker (Logs geolocation views)</w:t>
              <w:br/>
              <w:t>- Copy &amp; DevTools Protection (Secures code)</w:t>
            </w:r>
          </w:p>
        </w:tc>
        <w:tc>
          <w:tcPr>
            <w:tcW w:type="dxa" w:w="4680"/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i w:val="0"/>
                <w:sz w:val="19"/>
              </w:rPr>
              <w:t>- Onboarding Checklists (Learn &amp; Launch)</w:t>
              <w:br/>
              <w:t>- CRM Leads Dashboard (Manages deals Kanban)</w:t>
              <w:br/>
              <w:t>- MLM Downline Tree (Renders hierarchy lines)</w:t>
              <w:br/>
              <w:t>- Stats &amp; Analytics Dashboard (Graphs views)</w:t>
              <w:br/>
              <w:t>- News CMS Engine (Publishes updates)</w:t>
            </w:r>
          </w:p>
        </w:tc>
      </w:tr>
      <w:tr>
        <w:tc>
          <w:tcPr>
            <w:tcW w:type="dxa" w:w="9360"/>
            <w:gridSpan w:val="2"/>
            <w:shd w:val="clear" w:color="auto" w:fill="EFEFE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23232"/>
                <w:sz w:val="19"/>
              </w:rPr>
              <w:t>Supabase Shared Cloud Backend (PostgreSQL, Storage Buckets, Auth)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hAnsi="Arial"/>
          <w:b/>
          <w:i w:val="0"/>
          <w:color w:val="8B1A1A"/>
          <w:sz w:val="28"/>
        </w:rPr>
        <w:t>1. The Public B2C Client App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7 Health Pathways: </w:t>
      </w:r>
      <w:r>
        <w:rPr>
          <w:rFonts w:ascii="Arial" w:hAnsi="Arial"/>
          <w:b w:val="0"/>
          <w:i w:val="0"/>
          <w:sz w:val="20"/>
        </w:rPr>
        <w:t>Deep-dive clinical content for Women's Health, Men's Health, Sports Performance, Skin Health, Pain &amp; Fatigue, Neurodivergence, and Children's Health.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Directory &amp; Search: </w:t>
      </w:r>
      <w:r>
        <w:rPr>
          <w:rFonts w:ascii="Arial" w:hAnsi="Arial"/>
          <w:b w:val="0"/>
          <w:i w:val="0"/>
          <w:sz w:val="20"/>
        </w:rPr>
        <w:t>A 4-column specialist list grid with location search, automatic city extraction, and full text wrapping.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B2C Health Quiz: </w:t>
      </w:r>
      <w:r>
        <w:rPr>
          <w:rFonts w:ascii="Arial" w:hAnsi="Arial"/>
          <w:b w:val="0"/>
          <w:i w:val="0"/>
          <w:sz w:val="20"/>
        </w:rPr>
        <w:t>A multi-step intake form collecting user goals and referral campaign slugs.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Route Analytics Tracker: </w:t>
      </w:r>
      <w:r>
        <w:rPr>
          <w:rFonts w:ascii="Arial" w:hAnsi="Arial"/>
          <w:b w:val="0"/>
          <w:i w:val="0"/>
          <w:sz w:val="20"/>
        </w:rPr>
        <w:t>Logs visitor IDs, devices, referral campaign keys, and visitor city/country details.</w:t>
      </w:r>
    </w:p>
    <w:p>
      <w:pPr>
        <w:pStyle w:val="Heading2"/>
        <w:spacing w:before="240" w:after="80"/>
      </w:pPr>
      <w:r>
        <w:rPr>
          <w:rFonts w:ascii="Arial" w:hAnsi="Arial"/>
          <w:b/>
          <w:i w:val="0"/>
          <w:color w:val="8B1A1A"/>
          <w:sz w:val="28"/>
        </w:rPr>
        <w:t>2. The B2B Partner Portal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Onboarding &amp; Academy: </w:t>
      </w:r>
      <w:r>
        <w:rPr>
          <w:rFonts w:ascii="Arial" w:hAnsi="Arial"/>
          <w:b w:val="0"/>
          <w:i w:val="0"/>
          <w:sz w:val="20"/>
        </w:rPr>
        <w:t>checklist steps (Learn, Launch, Grow, Lead), webinars, lecture slides, and 80% passing quizzes.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CRM Leads Pipeline: </w:t>
      </w:r>
      <w:r>
        <w:rPr>
          <w:rFonts w:ascii="Arial" w:hAnsi="Arial"/>
          <w:b w:val="0"/>
          <w:i w:val="0"/>
          <w:sz w:val="20"/>
        </w:rPr>
        <w:t>Draggable Kanban board to track leads from intake to active patient deals, with CSV spreadsheet download.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MLM Downline Tree: </w:t>
      </w:r>
      <w:r>
        <w:rPr>
          <w:rFonts w:ascii="Arial" w:hAnsi="Arial"/>
          <w:b w:val="0"/>
          <w:i w:val="0"/>
          <w:sz w:val="20"/>
        </w:rPr>
        <w:t>A visual tree displaying team hierarchies, sponsor generation branches, monthly volumes, and ranks.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Analytics Dashboard: </w:t>
      </w:r>
      <w:r>
        <w:rPr>
          <w:rFonts w:ascii="Arial" w:hAnsi="Arial"/>
          <w:b w:val="0"/>
          <w:i w:val="0"/>
          <w:sz w:val="20"/>
        </w:rPr>
        <w:t>Graphs 7-day traffic trends, channel sources, and live log terminal captures.</w:t>
      </w:r>
    </w:p>
    <w:p>
      <w:pPr>
        <w:pStyle w:val="Heading1"/>
        <w:spacing w:before="280" w:after="120"/>
      </w:pPr>
      <w:r>
        <w:rPr>
          <w:rFonts w:ascii="Arial" w:hAnsi="Arial"/>
          <w:b/>
          <w:i w:val="0"/>
          <w:color w:val="8B1A1A"/>
          <w:sz w:val="36"/>
        </w:rPr>
        <w:t>Key Benefits &amp; Business Logic</w:t>
      </w:r>
    </w:p>
    <w:p>
      <w:pPr>
        <w:pStyle w:val="Heading3"/>
        <w:spacing w:before="160" w:after="40"/>
      </w:pPr>
      <w:r>
        <w:rPr>
          <w:rFonts w:ascii="Arial" w:hAnsi="Arial"/>
          <w:b/>
          <w:i w:val="0"/>
          <w:color w:val="323232"/>
          <w:sz w:val="23"/>
        </w:rPr>
        <w:t>1. For Clients &amp; Patients (B2C Benefits)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Objective Diagnostics: </w:t>
      </w:r>
      <w:r>
        <w:rPr>
          <w:rFonts w:ascii="Arial" w:hAnsi="Arial"/>
          <w:b w:val="0"/>
          <w:i w:val="0"/>
          <w:sz w:val="20"/>
        </w:rPr>
        <w:t>Bypasses guesswork by utilizing point-of-care finger-prick and advanced lab testing.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Clear Timeline: </w:t>
      </w:r>
      <w:r>
        <w:rPr>
          <w:rFonts w:ascii="Arial" w:hAnsi="Arial"/>
          <w:b w:val="0"/>
          <w:i w:val="0"/>
          <w:sz w:val="20"/>
        </w:rPr>
        <w:t>Unified 6-stage protocol bars (Discover, Test, Target, Transform, Retest, Escalate) provide path guidelines.</w:t>
      </w:r>
    </w:p>
    <w:p>
      <w:pPr>
        <w:pStyle w:val="Heading3"/>
        <w:spacing w:before="160" w:after="40"/>
      </w:pPr>
      <w:r>
        <w:rPr>
          <w:rFonts w:ascii="Arial" w:hAnsi="Arial"/>
          <w:b/>
          <w:i w:val="0"/>
          <w:color w:val="323232"/>
          <w:sz w:val="23"/>
        </w:rPr>
        <w:t>2. For Practitioners &amp; Partners (B2B Benefits)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Structured Business Model: </w:t>
      </w:r>
      <w:r>
        <w:rPr>
          <w:rFonts w:ascii="Arial" w:hAnsi="Arial"/>
          <w:b w:val="0"/>
          <w:i w:val="0"/>
          <w:sz w:val="20"/>
        </w:rPr>
        <w:t>Step-by-step onboarding plan guides practitioners from setup to running regional hubs.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Compounding Income: </w:t>
      </w:r>
      <w:r>
        <w:rPr>
          <w:rFonts w:ascii="Arial" w:hAnsi="Arial"/>
          <w:b w:val="0"/>
          <w:i w:val="0"/>
          <w:sz w:val="20"/>
        </w:rPr>
        <w:t>Builds monthly recurring revenue by enrolling clients in product subscriptions (BalanceOil+, ZinoBiotic+).</w:t>
      </w:r>
    </w:p>
    <w:p>
      <w:pPr>
        <w:pStyle w:val="Heading3"/>
        <w:spacing w:before="160" w:after="40"/>
      </w:pPr>
      <w:r>
        <w:rPr>
          <w:rFonts w:ascii="Arial" w:hAnsi="Arial"/>
          <w:b/>
          <w:i w:val="0"/>
          <w:color w:val="323232"/>
          <w:sz w:val="23"/>
        </w:rPr>
        <w:t>3. For Platform Administrators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Self-Hosted Analytics: </w:t>
      </w:r>
      <w:r>
        <w:rPr>
          <w:rFonts w:ascii="Arial" w:hAnsi="Arial"/>
          <w:b w:val="0"/>
          <w:i w:val="0"/>
          <w:sz w:val="20"/>
        </w:rPr>
        <w:t>Tracker logs pageviews directly to the database, ensuring zero dependencies on cookies before GA4 is set up.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Content Security: </w:t>
      </w:r>
      <w:r>
        <w:rPr>
          <w:rFonts w:ascii="Arial" w:hAnsi="Arial"/>
          <w:b w:val="0"/>
          <w:i w:val="0"/>
          <w:sz w:val="20"/>
        </w:rPr>
        <w:t>DevTools blockades, click/selection interceptors, and frosted-glass alerts prevent data scraping.</w:t>
      </w:r>
    </w:p>
    <w:p>
      <w:pPr>
        <w:pStyle w:val="Heading1"/>
        <w:spacing w:before="280" w:after="120"/>
      </w:pPr>
      <w:r>
        <w:rPr>
          <w:rFonts w:ascii="Arial" w:hAnsi="Arial"/>
          <w:b/>
          <w:i w:val="0"/>
          <w:color w:val="8B1A1A"/>
          <w:sz w:val="36"/>
        </w:rPr>
        <w:t>Testing &amp; Screening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8B1A1A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Testing Tier</w:t>
            </w:r>
          </w:p>
        </w:tc>
        <w:tc>
          <w:tcPr>
            <w:tcW w:type="dxa" w:w="2340"/>
            <w:shd w:val="clear" w:color="auto" w:fill="8B1A1A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Location</w:t>
            </w:r>
          </w:p>
        </w:tc>
        <w:tc>
          <w:tcPr>
            <w:tcW w:type="dxa" w:w="2340"/>
            <w:shd w:val="clear" w:color="auto" w:fill="8B1A1A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Key Bio-Markers</w:t>
            </w:r>
          </w:p>
        </w:tc>
        <w:tc>
          <w:tcPr>
            <w:tcW w:type="dxa" w:w="2340"/>
            <w:shd w:val="clear" w:color="auto" w:fill="8B1A1A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Clinical Action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Foundational Testing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In-Clinic or Online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Omega Balance Test, Gut Microbiome Test, FSH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Establish baseline cellular inflammation, fatty acid profile, hormone signalling, and microbiome diversity.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Baseline Screening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Finger-Prick POC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Vitamin D, HbA1c, Ferritin, CRP, Cortisol, Cystatin C, Folate, HCG-b, AMH, Progesterone, NT-proBNP, RSV, RF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Rapid, 15-minute diagnostic checks performed during the initial physical consultation.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Advanced Screening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Phlebotomy Lab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Testosterone, Vitamin B12, FSH, Thyroid (TSH)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In-depth biochemical analysis triggered when symptoms suggest systemic imbalance.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Arial" w:hAnsi="Arial"/>
          <w:b/>
          <w:i w:val="0"/>
          <w:color w:val="8B1A1A"/>
          <w:sz w:val="36"/>
        </w:rPr>
        <w:t>Tech Stack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Frontend: </w:t>
      </w:r>
      <w:r>
        <w:rPr>
          <w:rFonts w:ascii="Arial" w:hAnsi="Arial"/>
          <w:b w:val="0"/>
          <w:i w:val="0"/>
          <w:sz w:val="20"/>
        </w:rPr>
        <w:t>React / Vite (Main Site), Next.js App Router (Partner Hub)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Database: </w:t>
      </w:r>
      <w:r>
        <w:rPr>
          <w:rFonts w:ascii="Arial" w:hAnsi="Arial"/>
          <w:b w:val="0"/>
          <w:i w:val="0"/>
          <w:sz w:val="20"/>
        </w:rPr>
        <w:t>Supabase (PostgreSQL, Storage, RLS policies)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Styling: </w:t>
      </w:r>
      <w:r>
        <w:rPr>
          <w:rFonts w:ascii="Arial" w:hAnsi="Arial"/>
          <w:b w:val="0"/>
          <w:i w:val="0"/>
          <w:sz w:val="20"/>
        </w:rPr>
        <w:t>Tailwind CSS &amp; custom CSS palette (Sand, cream, and deep-red #8B1A1A)</w:t>
      </w:r>
    </w:p>
    <w:p>
      <w:pPr>
        <w:pStyle w:val="ListBullet"/>
        <w:spacing w:after="40"/>
        <w:ind w:left="576"/>
      </w:pPr>
      <w:r>
        <w:rPr>
          <w:rFonts w:ascii="Arial" w:hAnsi="Arial"/>
          <w:b/>
          <w:i w:val="0"/>
          <w:sz w:val="20"/>
        </w:rPr>
        <w:t xml:space="preserve">Components: </w:t>
      </w:r>
      <w:r>
        <w:rPr>
          <w:rFonts w:ascii="Arial" w:hAnsi="Arial"/>
          <w:b w:val="0"/>
          <w:i w:val="0"/>
          <w:sz w:val="20"/>
        </w:rPr>
        <w:t>shadcn/ui &amp; Radix UI primitives</w:t>
      </w:r>
    </w:p>
    <w:p>
      <w:pPr>
        <w:pStyle w:val="Heading1"/>
        <w:spacing w:before="280" w:after="120"/>
      </w:pPr>
      <w:r>
        <w:rPr>
          <w:rFonts w:ascii="Arial" w:hAnsi="Arial"/>
          <w:b/>
          <w:i w:val="0"/>
          <w:color w:val="8B1A1A"/>
          <w:sz w:val="36"/>
        </w:rPr>
        <w:t>Getting Started (Development)</w:t>
      </w:r>
    </w:p>
    <w:p>
      <w:pPr>
        <w:pStyle w:val="Heading3"/>
        <w:spacing w:before="160" w:after="40"/>
      </w:pPr>
      <w:r>
        <w:rPr>
          <w:rFonts w:ascii="Arial" w:hAnsi="Arial"/>
          <w:b/>
          <w:i w:val="0"/>
          <w:color w:val="323232"/>
          <w:sz w:val="23"/>
        </w:rPr>
        <w:t>1. Start B2C Website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 w:val="0"/>
                <w:i w:val="0"/>
                <w:color w:val="282828"/>
                <w:sz w:val="18"/>
              </w:rPr>
              <w:t>cd test-based-nutrition-ui</w:t>
              <w:br/>
              <w:t>npm install</w:t>
              <w:br/>
              <w:t>npm run dev</w:t>
            </w:r>
          </w:p>
        </w:tc>
      </w:tr>
    </w:tbl>
    <w:p>
      <w:pPr>
        <w:spacing w:after="40"/>
      </w:pPr>
    </w:p>
    <w:p>
      <w:pPr>
        <w:pStyle w:val="Heading3"/>
        <w:spacing w:before="160" w:after="40"/>
      </w:pPr>
      <w:r>
        <w:rPr>
          <w:rFonts w:ascii="Arial" w:hAnsi="Arial"/>
          <w:b/>
          <w:i w:val="0"/>
          <w:color w:val="323232"/>
          <w:sz w:val="23"/>
        </w:rPr>
        <w:t>2. Start Partner Portal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 w:val="0"/>
                <w:i w:val="0"/>
                <w:color w:val="282828"/>
                <w:sz w:val="18"/>
              </w:rPr>
              <w:t>cd partner-hub</w:t>
              <w:br/>
              <w:t>pnpm install</w:t>
              <w:br/>
              <w:t>pnpm dev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rial" w:hAnsi="Arial"/>
          <w:b/>
          <w:i w:val="0"/>
          <w:color w:val="8B1A1A"/>
          <w:sz w:val="36"/>
        </w:rPr>
        <w:t>Database Schema Setup</w:t>
      </w:r>
    </w:p>
    <w:p>
      <w:r>
        <w:rPr>
          <w:rFonts w:ascii="Arial" w:hAnsi="Arial"/>
          <w:b w:val="0"/>
          <w:i/>
          <w:sz w:val="20"/>
        </w:rPr>
        <w:t>Below is the SQL table schema for pageview tracking logs: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 w:val="0"/>
                <w:i w:val="0"/>
                <w:color w:val="282828"/>
                <w:sz w:val="18"/>
              </w:rPr>
              <w:t>CREATE TABLE public.page_views (</w:t>
              <w:br/>
              <w:t xml:space="preserve">    id uuid DEFAULT gen_random_uuid() NOT NULL PRIMARY KEY,</w:t>
              <w:br/>
              <w:t xml:space="preserve">    created_at timestamp with time zone DEFAULT timezone('utc'::text, now()) NOT NULL,</w:t>
              <w:br/>
              <w:t xml:space="preserve">    path text NOT NULL,</w:t>
              <w:br/>
              <w:t xml:space="preserve">    referrer text,</w:t>
              <w:br/>
              <w:t xml:space="preserve">    visitor_id text NOT NULL,</w:t>
              <w:br/>
              <w:t xml:space="preserve">    device_type text,</w:t>
              <w:br/>
              <w:t xml:space="preserve">    city text,</w:t>
              <w:br/>
              <w:t xml:space="preserve">    country text,</w:t>
              <w:br/>
              <w:t xml:space="preserve">    campaign_code text</w:t>
              <w:br/>
              <w:t>);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