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single" w:color="auto" w:sz="4"/>
          <w:insideV w:val="single" w:color="auto" w:sz="4"/>
        </w:tblBorders>
        <w:tblLayout w:type="fixed"/>
      </w:tblPr>
      <w:tblGrid>
        <w:gridCol w:w="100"/>
      </w:tblGrid>
      <w:tr>
        <w:trPr>
          <w:trHeight w:val="16838" w:hRule="exact"/>
        </w:trPr>
        <w:tc>
          <w:tcPr>
            <w:tcBorders>
              <w:top w:val="none"/>
              <w:left w:val="none"/>
              <w:bottom w:val="none"/>
              <w:right w:val="none"/>
            </w:tcBorders>
            <w:shd w:fill="FFFFFF"/>
            <w:vAlign w:val="top"/>
          </w:tcPr>
          <w:tbl>
            <w:tblPr>
              <w:tblW w:type="pct" w:w="100%"/>
              <w:tblBorders>
                <w:top w:val="none"/>
                <w:left w:val="none"/>
                <w:bottom w:val="none"/>
                <w:right w:val="none"/>
                <w:insideH w:val="single" w:color="auto" w:sz="4"/>
                <w:insideV w:val="single" w:color="auto" w:sz="4"/>
              </w:tblBorders>
              <w:tblLayout w:type="fixed"/>
            </w:tblPr>
            <w:tblGrid>
              <w:gridCol w:w="100"/>
            </w:tblGrid>
            <w:tr>
              <w:trPr>
                <w:trHeight w:val="7500" w:hRule="exact"/>
              </w:trPr>
              <w:tc>
                <w:tcPr>
                  <w:tcBorders>
                    <w:top w:val="none"/>
                    <w:left w:val="none"/>
                    <w:bottom w:val="none"/>
                    <w:right w:val="none"/>
                  </w:tcBorders>
                  <w:shd w:fill="1A2330"/>
                  <w:tcMar>
                    <w:left w:type="dxa" w:w="1200"/>
                    <w:right w:type="dxa" w:w="800"/>
                  </w:tcMar>
                  <w:vAlign w:val="top"/>
                </w:tcPr>
                <w:p>
                  <w:pPr>
                    <w:spacing w:before="4209"/>
                  </w:pPr>
                </w:p>
                <w:p>
                  <w:pPr>
                    <w:spacing w:after="500"/>
                  </w:pPr>
                  <w:r>
                    <w:rPr>
                      <w:rFonts w:ascii="Calibri"/>
                      <w:color w:val="D4875A"/>
                      <w:spacing w:val="60"/>
                      <w:sz w:val="18"/>
                      <w:szCs w:val="18"/>
                    </w:rPr>
                    <w:t xml:space="preserve">D E M O C R A T I Z I N G   S C I E N T I F I C   D I S C O V E R Y</w:t>
                  </w:r>
                </w:p>
                <w:p>
                  <w:pPr>
                    <w:spacing w:after="200"/>
                  </w:pPr>
                  <w:r>
                    <w:rPr>
                      <w:rFonts w:ascii="Arial" w:eastAsia="SimHei"/>
                      <w:b/>
                      <w:bCs/>
                      <w:color w:val="FFFFFF"/>
                      <w:sz w:val="72"/>
                      <w:szCs w:val="72"/>
                    </w:rPr>
                    <w:t xml:space="preserve">Endeavor Science (AETH-1)</w:t>
                  </w:r>
                </w:p>
                <w:p>
                  <w:pPr>
                    <w:spacing w:after="100"/>
                  </w:pPr>
                  <w:r>
                    <w:rPr>
                      <w:rFonts w:ascii="Arial" w:eastAsia="Microsoft YaHei"/>
                      <w:color w:val="B0B8C0"/>
                      <w:sz w:val="24"/>
                      <w:szCs w:val="24"/>
                    </w:rPr>
                    <w:t xml:space="preserve">Business Plan</w:t>
                  </w:r>
                </w:p>
              </w:tc>
            </w:tr>
          </w:tbl>
          <w:tbl>
            <w:tblPr>
              <w:tblW w:type="pct" w:w="100%"/>
              <w:tblBorders>
                <w:top w:val="none"/>
                <w:left w:val="none"/>
                <w:bottom w:val="none"/>
                <w:right w:val="none"/>
                <w:insideH w:val="single" w:color="auto" w:sz="4"/>
                <w:insideV w:val="single" w:color="auto" w:sz="4"/>
              </w:tblBorders>
            </w:tblPr>
            <w:tblGrid>
              <w:gridCol w:w="100"/>
            </w:tblGrid>
            <w:tr>
              <w:trPr>
                <w:trHeight w:val="60" w:hRule="exact"/>
              </w:trPr>
              <w:tc>
                <w:tcPr>
                  <w:tcBorders>
                    <w:top w:val="none"/>
                    <w:left w:val="none"/>
                    <w:bottom w:val="none"/>
                    <w:right w:val="none"/>
                  </w:tcBorders>
                  <w:shd w:fill="D4875A"/>
                </w:tcPr>
                <w:p/>
              </w:tc>
            </w:tr>
          </w:tbl>
          <w:p>
            <w:pPr>
              <w:spacing w:before="800"/>
            </w:pPr>
          </w:p>
          <w:p>
            <w:pPr>
              <w:spacing w:after="100"/>
              <w:ind w:left="1200"/>
            </w:pPr>
            <w:r>
              <w:rPr>
                <w:rFonts w:ascii="Arial" w:eastAsia="Microsoft YaHei"/>
                <w:color w:val="90989F"/>
                <w:sz w:val="28"/>
                <w:szCs w:val="28"/>
              </w:rPr>
              <w:t xml:space="preserve">Founder: TestDemo</w:t>
            </w:r>
          </w:p>
          <w:p>
            <w:pPr>
              <w:spacing w:after="100"/>
              <w:ind w:left="1200"/>
            </w:pPr>
            <w:r>
              <w:rPr>
                <w:rFonts w:ascii="Arial" w:eastAsia="Microsoft YaHei"/>
                <w:color w:val="90989F"/>
                <w:sz w:val="28"/>
                <w:szCs w:val="28"/>
              </w:rPr>
              <w:t xml:space="preserve">Email: testdemoqwenai2025@gmail.com</w:t>
            </w:r>
          </w:p>
          <w:p>
            <w:pPr>
              <w:spacing w:after="100"/>
              <w:ind w:left="1200"/>
            </w:pPr>
            <w:r>
              <w:rPr>
                <w:rFonts w:ascii="Arial" w:eastAsia="Microsoft YaHei"/>
                <w:color w:val="90989F"/>
                <w:sz w:val="28"/>
                <w:szCs w:val="28"/>
              </w:rPr>
              <w:t xml:space="preserve">August 2026</w:t>
            </w:r>
          </w:p>
          <w:p>
            <w:pPr>
              <w:spacing w:before="2000"/>
            </w:pPr>
          </w:p>
          <w:p>
            <w:pPr>
              <w:ind w:left="1200"/>
            </w:pPr>
            <w:r>
              <w:rPr>
                <w:color w:val="909090"/>
                <w:sz w:val="22"/>
                <w:szCs w:val="22"/>
              </w:rPr>
              <w:t xml:space="preserve">Classification: Confidential</w:t>
            </w:r>
            <w:r>
              <w:t xml:space="preserve">          </w:t>
            </w:r>
            <w:r>
              <w:rPr>
                <w:color w:val="909090"/>
                <w:sz w:val="22"/>
                <w:szCs w:val="22"/>
              </w:rPr>
              <w:t xml:space="preserve">For Investor Review Only</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eastAsia="SimHei"/>
          <w:b/>
          <w:bCs/>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Vision Statement</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Problem Overview</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Solution Summary</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1.4 Market Opportunity Highlights</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1.5 Business Model Snapshot</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1.6 Financial Highlights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1.7 Funding Requirements</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1.8 The Team Advantage</w:t>
            </w:r>
            <w:r>
              <w:tab/>
            </w:r>
            <w:r>
              <w:fldChar w:fldCharType="begin"/>
            </w:r>
            <w:r>
              <w:instrText xml:space="preserve"> PAGEREF _Toc100008 \h </w:instrText>
            </w:r>
            <w:r>
              <w:fldChar w:fldCharType="separate"/>
            </w:r>
            <w:r>
              <w:t>3</w:t>
            </w:r>
            <w:r>
              <w:fldChar w:fldCharType="end"/>
            </w:r>
          </w:hyperlink>
        </w:p>
        <w:p>
          <w:pPr>
            <w:pStyle w:val="9"/>
            <w:tabs>
              <w:tab w:val="right" w:leader="dot" w:pos="9026"/>
            </w:tabs>
            <w:spacing w:before="120" w:after="60"/>
          </w:pPr>
          <w:hyperlink w:anchor="_Toc100009" w:history="1">
            <w:r>
              <w:rPr>
                <w:rStyle w:val="Hyperlink"/>
              </w:rPr>
              <w:t>2. Company Overview</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2.1 Mission Statement</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2.2 Vision</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2.3 Core Values</w:t>
            </w:r>
            <w:r>
              <w:tab/>
            </w:r>
            <w:r>
              <w:fldChar w:fldCharType="begin"/>
            </w:r>
            <w:r>
              <w:instrText xml:space="preserve"> PAGEREF _Toc100012 \h </w:instrText>
            </w:r>
            <w:r>
              <w:fldChar w:fldCharType="separate"/>
            </w:r>
            <w:r>
              <w:t>4</w:t>
            </w:r>
            <w:r>
              <w:fldChar w:fldCharType="end"/>
            </w:r>
          </w:hyperlink>
        </w:p>
        <w:p>
          <w:pPr>
            <w:pStyle w:val="12"/>
            <w:ind w:left="720"/>
            <w:tabs>
              <w:tab w:val="right" w:leader="dot" w:pos="9026"/>
            </w:tabs>
            <w:spacing w:before="120" w:after="60"/>
          </w:pPr>
          <w:hyperlink w:anchor="_Toc100013" w:history="1">
            <w:r>
              <w:rPr>
                <w:rStyle w:val="Hyperlink"/>
              </w:rPr>
              <w:t>Accessibility First</w:t>
            </w:r>
            <w:r>
              <w:tab/>
            </w:r>
            <w:r>
              <w:fldChar w:fldCharType="begin"/>
            </w:r>
            <w:r>
              <w:instrText xml:space="preserve"> PAGEREF _Toc100013 \h </w:instrText>
            </w:r>
            <w:r>
              <w:fldChar w:fldCharType="separate"/>
            </w:r>
            <w:r>
              <w:t>4</w:t>
            </w:r>
            <w:r>
              <w:fldChar w:fldCharType="end"/>
            </w:r>
          </w:hyperlink>
        </w:p>
        <w:p>
          <w:pPr>
            <w:pStyle w:val="12"/>
            <w:ind w:left="720"/>
            <w:tabs>
              <w:tab w:val="right" w:leader="dot" w:pos="9026"/>
            </w:tabs>
            <w:spacing w:before="120" w:after="60"/>
          </w:pPr>
          <w:hyperlink w:anchor="_Toc100014" w:history="1">
            <w:r>
              <w:rPr>
                <w:rStyle w:val="Hyperlink"/>
              </w:rPr>
              <w:t>Reproducibility by Design</w:t>
            </w:r>
            <w:r>
              <w:tab/>
            </w:r>
            <w:r>
              <w:fldChar w:fldCharType="begin"/>
            </w:r>
            <w:r>
              <w:instrText xml:space="preserve"> PAGEREF _Toc100014 \h </w:instrText>
            </w:r>
            <w:r>
              <w:fldChar w:fldCharType="separate"/>
            </w:r>
            <w:r>
              <w:t>5</w:t>
            </w:r>
            <w:r>
              <w:fldChar w:fldCharType="end"/>
            </w:r>
          </w:hyperlink>
        </w:p>
        <w:p>
          <w:pPr>
            <w:pStyle w:val="12"/>
            <w:ind w:left="720"/>
            <w:tabs>
              <w:tab w:val="right" w:leader="dot" w:pos="9026"/>
            </w:tabs>
            <w:spacing w:before="120" w:after="60"/>
          </w:pPr>
          <w:hyperlink w:anchor="_Toc100015" w:history="1">
            <w:r>
              <w:rPr>
                <w:rStyle w:val="Hyperlink"/>
              </w:rPr>
              <w:t>Community Driven</w:t>
            </w:r>
            <w:r>
              <w:tab/>
            </w:r>
            <w:r>
              <w:fldChar w:fldCharType="begin"/>
            </w:r>
            <w:r>
              <w:instrText xml:space="preserve"> PAGEREF _Toc100015 \h </w:instrText>
            </w:r>
            <w:r>
              <w:fldChar w:fldCharType="separate"/>
            </w:r>
            <w:r>
              <w:t>5</w:t>
            </w:r>
            <w:r>
              <w:fldChar w:fldCharType="end"/>
            </w:r>
          </w:hyperlink>
        </w:p>
        <w:p>
          <w:pPr>
            <w:pStyle w:val="12"/>
            <w:ind w:left="720"/>
            <w:tabs>
              <w:tab w:val="right" w:leader="dot" w:pos="9026"/>
            </w:tabs>
            <w:spacing w:before="120" w:after="60"/>
          </w:pPr>
          <w:hyperlink w:anchor="_Toc100016" w:history="1">
            <w:r>
              <w:rPr>
                <w:rStyle w:val="Hyperlink"/>
              </w:rPr>
              <w:t>Innovation Without Barriers</w:t>
            </w:r>
            <w:r>
              <w:tab/>
            </w:r>
            <w:r>
              <w:fldChar w:fldCharType="begin"/>
            </w:r>
            <w:r>
              <w:instrText xml:space="preserve"> PAGEREF _Toc100016 \h </w:instrText>
            </w:r>
            <w:r>
              <w:fldChar w:fldCharType="separate"/>
            </w:r>
            <w:r>
              <w:t>5</w:t>
            </w:r>
            <w:r>
              <w:fldChar w:fldCharType="end"/>
            </w:r>
          </w:hyperlink>
        </w:p>
        <w:p>
          <w:pPr>
            <w:pStyle w:val="11"/>
            <w:ind w:left="360"/>
            <w:tabs>
              <w:tab w:val="right" w:leader="dot" w:pos="9026"/>
            </w:tabs>
            <w:spacing w:before="120" w:after="60"/>
          </w:pPr>
          <w:hyperlink w:anchor="_Toc100017" w:history="1">
            <w:r>
              <w:rPr>
                <w:rStyle w:val="Hyperlink"/>
              </w:rPr>
              <w:t>2.4 Company History &amp; Founding Story</w:t>
            </w:r>
            <w:r>
              <w:tab/>
            </w:r>
            <w:r>
              <w:fldChar w:fldCharType="begin"/>
            </w:r>
            <w:r>
              <w:instrText xml:space="preserve"> PAGEREF _Toc100017 \h </w:instrText>
            </w:r>
            <w:r>
              <w:fldChar w:fldCharType="separate"/>
            </w:r>
            <w:r>
              <w:t>5</w:t>
            </w:r>
            <w:r>
              <w:fldChar w:fldCharType="end"/>
            </w:r>
          </w:hyperlink>
        </w:p>
        <w:p>
          <w:pPr>
            <w:pStyle w:val="11"/>
            <w:ind w:left="360"/>
            <w:tabs>
              <w:tab w:val="right" w:leader="dot" w:pos="9026"/>
            </w:tabs>
            <w:spacing w:before="120" w:after="60"/>
          </w:pPr>
          <w:hyperlink w:anchor="_Toc100018" w:history="1">
            <w:r>
              <w:rPr>
                <w:rStyle w:val="Hyperlink"/>
              </w:rPr>
              <w:t>2.5 Strategic Objectives</w:t>
            </w:r>
            <w:r>
              <w:tab/>
            </w:r>
            <w:r>
              <w:fldChar w:fldCharType="begin"/>
            </w:r>
            <w:r>
              <w:instrText xml:space="preserve"> PAGEREF _Toc100018 \h </w:instrText>
            </w:r>
            <w:r>
              <w:fldChar w:fldCharType="separate"/>
            </w:r>
            <w:r>
              <w:t>6</w:t>
            </w:r>
            <w:r>
              <w:fldChar w:fldCharType="end"/>
            </w:r>
          </w:hyperlink>
        </w:p>
        <w:p>
          <w:pPr>
            <w:pStyle w:val="12"/>
            <w:ind w:left="720"/>
            <w:tabs>
              <w:tab w:val="right" w:leader="dot" w:pos="9026"/>
            </w:tabs>
            <w:spacing w:before="120" w:after="60"/>
          </w:pPr>
          <w:hyperlink w:anchor="_Toc100019" w:history="1">
            <w:r>
              <w:rPr>
                <w:rStyle w:val="Hyperlink"/>
              </w:rPr>
              <w:t>Year 1 Goals (Foundation)</w:t>
            </w:r>
            <w:r>
              <w:tab/>
            </w:r>
            <w:r>
              <w:fldChar w:fldCharType="begin"/>
            </w:r>
            <w:r>
              <w:instrText xml:space="preserve"> PAGEREF _Toc100019 \h </w:instrText>
            </w:r>
            <w:r>
              <w:fldChar w:fldCharType="separate"/>
            </w:r>
            <w:r>
              <w:t>6</w:t>
            </w:r>
            <w:r>
              <w:fldChar w:fldCharType="end"/>
            </w:r>
          </w:hyperlink>
        </w:p>
        <w:p>
          <w:pPr>
            <w:pStyle w:val="12"/>
            <w:ind w:left="720"/>
            <w:tabs>
              <w:tab w:val="right" w:leader="dot" w:pos="9026"/>
            </w:tabs>
            <w:spacing w:before="120" w:after="60"/>
          </w:pPr>
          <w:hyperlink w:anchor="_Toc100020" w:history="1">
            <w:r>
              <w:rPr>
                <w:rStyle w:val="Hyperlink"/>
              </w:rPr>
              <w:t>Year 2-3 Goals (Growth)</w:t>
            </w:r>
            <w:r>
              <w:tab/>
            </w:r>
            <w:r>
              <w:fldChar w:fldCharType="begin"/>
            </w:r>
            <w:r>
              <w:instrText xml:space="preserve"> PAGEREF _Toc100020 \h </w:instrText>
            </w:r>
            <w:r>
              <w:fldChar w:fldCharType="separate"/>
            </w:r>
            <w:r>
              <w:t>6</w:t>
            </w:r>
            <w:r>
              <w:fldChar w:fldCharType="end"/>
            </w:r>
          </w:hyperlink>
        </w:p>
        <w:p>
          <w:pPr>
            <w:pStyle w:val="12"/>
            <w:ind w:left="720"/>
            <w:tabs>
              <w:tab w:val="right" w:leader="dot" w:pos="9026"/>
            </w:tabs>
            <w:spacing w:before="120" w:after="60"/>
          </w:pPr>
          <w:hyperlink w:anchor="_Toc100021" w:history="1">
            <w:r>
              <w:rPr>
                <w:rStyle w:val="Hyperlink"/>
              </w:rPr>
              <w:t>Year 4-5 Goals (Leadership)</w:t>
            </w:r>
            <w:r>
              <w:tab/>
            </w:r>
            <w:r>
              <w:fldChar w:fldCharType="begin"/>
            </w:r>
            <w:r>
              <w:instrText xml:space="preserve"> PAGEREF _Toc100021 \h </w:instrText>
            </w:r>
            <w:r>
              <w:fldChar w:fldCharType="separate"/>
            </w:r>
            <w:r>
              <w:t>7</w:t>
            </w:r>
            <w:r>
              <w:fldChar w:fldCharType="end"/>
            </w:r>
          </w:hyperlink>
        </w:p>
        <w:p>
          <w:pPr>
            <w:pStyle w:val="9"/>
            <w:tabs>
              <w:tab w:val="right" w:leader="dot" w:pos="9026"/>
            </w:tabs>
            <w:spacing w:before="120" w:after="60"/>
          </w:pPr>
          <w:hyperlink w:anchor="_Toc100022" w:history="1">
            <w:r>
              <w:rPr>
                <w:rStyle w:val="Hyperlink"/>
              </w:rPr>
              <w:t>3. Market Analysis</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3.1 Industry Overview</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3.2 Market Size Analysis</w:t>
            </w:r>
            <w:r>
              <w:tab/>
            </w:r>
            <w:r>
              <w:fldChar w:fldCharType="begin"/>
            </w:r>
            <w:r>
              <w:instrText xml:space="preserve"> PAGEREF _Toc100024 \h </w:instrText>
            </w:r>
            <w:r>
              <w:fldChar w:fldCharType="separate"/>
            </w:r>
            <w:r>
              <w:t>8</w:t>
            </w:r>
            <w:r>
              <w:fldChar w:fldCharType="end"/>
            </w:r>
          </w:hyperlink>
        </w:p>
        <w:p>
          <w:pPr>
            <w:pStyle w:val="12"/>
            <w:ind w:left="720"/>
            <w:tabs>
              <w:tab w:val="right" w:leader="dot" w:pos="9026"/>
            </w:tabs>
            <w:spacing w:before="120" w:after="60"/>
          </w:pPr>
          <w:hyperlink w:anchor="_Toc100025" w:history="1">
            <w:r>
              <w:rPr>
                <w:rStyle w:val="Hyperlink"/>
              </w:rPr>
              <w:t>Total Addressable Market (TAM): $45 Billion</w:t>
            </w:r>
            <w:r>
              <w:tab/>
            </w:r>
            <w:r>
              <w:fldChar w:fldCharType="begin"/>
            </w:r>
            <w:r>
              <w:instrText xml:space="preserve"> PAGEREF _Toc100025 \h </w:instrText>
            </w:r>
            <w:r>
              <w:fldChar w:fldCharType="separate"/>
            </w:r>
            <w:r>
              <w:t>8</w:t>
            </w:r>
            <w:r>
              <w:fldChar w:fldCharType="end"/>
            </w:r>
          </w:hyperlink>
        </w:p>
        <w:p>
          <w:pPr>
            <w:pStyle w:val="12"/>
            <w:ind w:left="720"/>
            <w:tabs>
              <w:tab w:val="right" w:leader="dot" w:pos="9026"/>
            </w:tabs>
            <w:spacing w:before="120" w:after="60"/>
          </w:pPr>
          <w:hyperlink w:anchor="_Toc100026" w:history="1">
            <w:r>
              <w:rPr>
                <w:rStyle w:val="Hyperlink"/>
              </w:rPr>
              <w:t>Serviceable Addressable Market (SAM): $18 Billion</w:t>
            </w:r>
            <w:r>
              <w:tab/>
            </w:r>
            <w:r>
              <w:fldChar w:fldCharType="begin"/>
            </w:r>
            <w:r>
              <w:instrText xml:space="preserve"> PAGEREF _Toc100026 \h </w:instrText>
            </w:r>
            <w:r>
              <w:fldChar w:fldCharType="separate"/>
            </w:r>
            <w:r>
              <w:t>9</w:t>
            </w:r>
            <w:r>
              <w:fldChar w:fldCharType="end"/>
            </w:r>
          </w:hyperlink>
        </w:p>
        <w:p>
          <w:pPr>
            <w:pStyle w:val="12"/>
            <w:ind w:left="720"/>
            <w:tabs>
              <w:tab w:val="right" w:leader="dot" w:pos="9026"/>
            </w:tabs>
            <w:spacing w:before="120" w:after="60"/>
          </w:pPr>
          <w:hyperlink w:anchor="_Toc100027" w:history="1">
            <w:r>
              <w:rPr>
                <w:rStyle w:val="Hyperlink"/>
              </w:rPr>
              <w:t>Serviceable Obtainable Market (SOM): $900 Million</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3.3 Market Trends and Drivers</w:t>
            </w:r>
            <w:r>
              <w:tab/>
            </w:r>
            <w:r>
              <w:fldChar w:fldCharType="begin"/>
            </w:r>
            <w:r>
              <w:instrText xml:space="preserve"> PAGEREF _Toc100028 \h </w:instrText>
            </w:r>
            <w:r>
              <w:fldChar w:fldCharType="separate"/>
            </w:r>
            <w:r>
              <w:t>9</w:t>
            </w:r>
            <w:r>
              <w:fldChar w:fldCharType="end"/>
            </w:r>
          </w:hyperlink>
        </w:p>
        <w:p>
          <w:pPr>
            <w:pStyle w:val="12"/>
            <w:ind w:left="720"/>
            <w:tabs>
              <w:tab w:val="right" w:leader="dot" w:pos="9026"/>
            </w:tabs>
            <w:spacing w:before="120" w:after="60"/>
          </w:pPr>
          <w:hyperlink w:anchor="_Toc100029" w:history="1">
            <w:r>
              <w:rPr>
                <w:rStyle w:val="Hyperlink"/>
              </w:rPr>
              <w:t>Cloud Migration Acceleration</w:t>
            </w:r>
            <w:r>
              <w:tab/>
            </w:r>
            <w:r>
              <w:fldChar w:fldCharType="begin"/>
            </w:r>
            <w:r>
              <w:instrText xml:space="preserve"> PAGEREF _Toc100029 \h </w:instrText>
            </w:r>
            <w:r>
              <w:fldChar w:fldCharType="separate"/>
            </w:r>
            <w:r>
              <w:t>9</w:t>
            </w:r>
            <w:r>
              <w:fldChar w:fldCharType="end"/>
            </w:r>
          </w:hyperlink>
        </w:p>
        <w:p>
          <w:pPr>
            <w:pStyle w:val="12"/>
            <w:ind w:left="720"/>
            <w:tabs>
              <w:tab w:val="right" w:leader="dot" w:pos="9026"/>
            </w:tabs>
            <w:spacing w:before="120" w:after="60"/>
          </w:pPr>
          <w:hyperlink w:anchor="_Toc100030" w:history="1">
            <w:r>
              <w:rPr>
                <w:rStyle w:val="Hyperlink"/>
              </w:rPr>
              <w:t>AI Integration Imperative</w:t>
            </w:r>
            <w:r>
              <w:tab/>
            </w:r>
            <w:r>
              <w:fldChar w:fldCharType="begin"/>
            </w:r>
            <w:r>
              <w:instrText xml:space="preserve"> PAGEREF _Toc100030 \h </w:instrText>
            </w:r>
            <w:r>
              <w:fldChar w:fldCharType="separate"/>
            </w:r>
            <w:r>
              <w:t>10</w:t>
            </w:r>
            <w:r>
              <w:fldChar w:fldCharType="end"/>
            </w:r>
          </w:hyperlink>
        </w:p>
        <w:p>
          <w:pPr>
            <w:pStyle w:val="12"/>
            <w:ind w:left="720"/>
            <w:tabs>
              <w:tab w:val="right" w:leader="dot" w:pos="9026"/>
            </w:tabs>
            <w:spacing w:before="120" w:after="60"/>
          </w:pPr>
          <w:hyperlink w:anchor="_Toc100031" w:history="1">
            <w:r>
              <w:rPr>
                <w:rStyle w:val="Hyperlink"/>
              </w:rPr>
              <w:t>Collaboration as Competitive Advantage</w:t>
            </w:r>
            <w:r>
              <w:tab/>
            </w:r>
            <w:r>
              <w:fldChar w:fldCharType="begin"/>
            </w:r>
            <w:r>
              <w:instrText xml:space="preserve"> PAGEREF _Toc100031 \h </w:instrText>
            </w:r>
            <w:r>
              <w:fldChar w:fldCharType="separate"/>
            </w:r>
            <w:r>
              <w:t>10</w:t>
            </w:r>
            <w:r>
              <w:fldChar w:fldCharType="end"/>
            </w:r>
          </w:hyperlink>
        </w:p>
        <w:p>
          <w:pPr>
            <w:pStyle w:val="12"/>
            <w:ind w:left="720"/>
            <w:tabs>
              <w:tab w:val="right" w:leader="dot" w:pos="9026"/>
            </w:tabs>
            <w:spacing w:before="120" w:after="60"/>
          </w:pPr>
          <w:hyperlink w:anchor="_Toc100032" w:history="1">
            <w:r>
              <w:rPr>
                <w:rStyle w:val="Hyperlink"/>
              </w:rPr>
              <w:t>Open Science Movement</w:t>
            </w:r>
            <w:r>
              <w:tab/>
            </w:r>
            <w:r>
              <w:fldChar w:fldCharType="begin"/>
            </w:r>
            <w:r>
              <w:instrText xml:space="preserve"> PAGEREF _Toc100032 \h </w:instrText>
            </w:r>
            <w:r>
              <w:fldChar w:fldCharType="separate"/>
            </w:r>
            <w:r>
              <w:t>10</w:t>
            </w:r>
            <w:r>
              <w:fldChar w:fldCharType="end"/>
            </w:r>
          </w:hyperlink>
        </w:p>
        <w:p>
          <w:pPr>
            <w:pStyle w:val="11"/>
            <w:ind w:left="360"/>
            <w:tabs>
              <w:tab w:val="right" w:leader="dot" w:pos="9026"/>
            </w:tabs>
            <w:spacing w:before="120" w:after="60"/>
          </w:pPr>
          <w:hyperlink w:anchor="_Toc100033" w:history="1">
            <w:r>
              <w:rPr>
                <w:rStyle w:val="Hyperlink"/>
              </w:rPr>
              <w:t>3.4 Target Market Segments</w:t>
            </w:r>
            <w:r>
              <w:tab/>
            </w:r>
            <w:r>
              <w:fldChar w:fldCharType="begin"/>
            </w:r>
            <w:r>
              <w:instrText xml:space="preserve"> PAGEREF _Toc100033 \h </w:instrText>
            </w:r>
            <w:r>
              <w:fldChar w:fldCharType="separate"/>
            </w:r>
            <w:r>
              <w:t>10</w:t>
            </w:r>
            <w:r>
              <w:fldChar w:fldCharType="end"/>
            </w:r>
          </w:hyperlink>
        </w:p>
        <w:p>
          <w:pPr>
            <w:pStyle w:val="12"/>
            <w:ind w:left="720"/>
            <w:tabs>
              <w:tab w:val="right" w:leader="dot" w:pos="9026"/>
            </w:tabs>
            <w:spacing w:before="120" w:after="60"/>
          </w:pPr>
          <w:hyperlink w:anchor="_Toc100034" w:history="1">
            <w:r>
              <w:rPr>
                <w:rStyle w:val="Hyperlink"/>
              </w:rPr>
              <w:t>Academic Research ($15B TAM)</w:t>
            </w:r>
            <w:r>
              <w:tab/>
            </w:r>
            <w:r>
              <w:fldChar w:fldCharType="begin"/>
            </w:r>
            <w:r>
              <w:instrText xml:space="preserve"> PAGEREF _Toc100034 \h </w:instrText>
            </w:r>
            <w:r>
              <w:fldChar w:fldCharType="separate"/>
            </w:r>
            <w:r>
              <w:t>10</w:t>
            </w:r>
            <w:r>
              <w:fldChar w:fldCharType="end"/>
            </w:r>
          </w:hyperlink>
        </w:p>
        <w:p>
          <w:pPr>
            <w:pStyle w:val="12"/>
            <w:ind w:left="720"/>
            <w:tabs>
              <w:tab w:val="right" w:leader="dot" w:pos="9026"/>
            </w:tabs>
            <w:spacing w:before="120" w:after="60"/>
          </w:pPr>
          <w:hyperlink w:anchor="_Toc100035" w:history="1">
            <w:r>
              <w:rPr>
                <w:rStyle w:val="Hyperlink"/>
              </w:rPr>
              <w:t>Biotech/Pharma R&amp;D ($18B TAM)</w:t>
            </w:r>
            <w:r>
              <w:tab/>
            </w:r>
            <w:r>
              <w:fldChar w:fldCharType="begin"/>
            </w:r>
            <w:r>
              <w:instrText xml:space="preserve"> PAGEREF _Toc100035 \h </w:instrText>
            </w:r>
            <w:r>
              <w:fldChar w:fldCharType="separate"/>
            </w:r>
            <w:r>
              <w:t>11</w:t>
            </w:r>
            <w:r>
              <w:fldChar w:fldCharType="end"/>
            </w:r>
          </w:hyperlink>
        </w:p>
        <w:p>
          <w:pPr>
            <w:pStyle w:val="12"/>
            <w:ind w:left="720"/>
            <w:tabs>
              <w:tab w:val="right" w:leader="dot" w:pos="9026"/>
            </w:tabs>
            <w:spacing w:before="120" w:after="60"/>
          </w:pPr>
          <w:hyperlink w:anchor="_Toc100036" w:history="1">
            <w:r>
              <w:rPr>
                <w:rStyle w:val="Hyperlink"/>
              </w:rPr>
              <w:t>Industrial R&amp;D ($8B TAM)</w:t>
            </w:r>
            <w:r>
              <w:tab/>
            </w:r>
            <w:r>
              <w:fldChar w:fldCharType="begin"/>
            </w:r>
            <w:r>
              <w:instrText xml:space="preserve"> PAGEREF _Toc100036 \h </w:instrText>
            </w:r>
            <w:r>
              <w:fldChar w:fldCharType="separate"/>
            </w:r>
            <w:r>
              <w:t>11</w:t>
            </w:r>
            <w:r>
              <w:fldChar w:fldCharType="end"/>
            </w:r>
          </w:hyperlink>
        </w:p>
        <w:p>
          <w:pPr>
            <w:pStyle w:val="12"/>
            <w:ind w:left="720"/>
            <w:tabs>
              <w:tab w:val="right" w:leader="dot" w:pos="9026"/>
            </w:tabs>
            <w:spacing w:before="120" w:after="60"/>
          </w:pPr>
          <w:hyperlink w:anchor="_Toc100037" w:history="1">
            <w:r>
              <w:rPr>
                <w:rStyle w:val="Hyperlink"/>
              </w:rPr>
              <w:t>Government/Defense ($4B TAM)</w:t>
            </w:r>
            <w:r>
              <w:tab/>
            </w:r>
            <w:r>
              <w:fldChar w:fldCharType="begin"/>
            </w:r>
            <w:r>
              <w:instrText xml:space="preserve"> PAGEREF _Toc100037 \h </w:instrText>
            </w:r>
            <w:r>
              <w:fldChar w:fldCharType="separate"/>
            </w:r>
            <w:r>
              <w:t>11</w:t>
            </w:r>
            <w:r>
              <w:fldChar w:fldCharType="end"/>
            </w:r>
          </w:hyperlink>
        </w:p>
        <w:p>
          <w:pPr>
            <w:pStyle w:val="11"/>
            <w:ind w:left="360"/>
            <w:tabs>
              <w:tab w:val="right" w:leader="dot" w:pos="9026"/>
            </w:tabs>
            <w:spacing w:before="120" w:after="60"/>
          </w:pPr>
          <w:hyperlink w:anchor="_Toc100038" w:history="1">
            <w:r>
              <w:rPr>
                <w:rStyle w:val="Hyperlink"/>
              </w:rPr>
              <w:t>3.5 Geographic Analysis</w:t>
            </w:r>
            <w:r>
              <w:tab/>
            </w:r>
            <w:r>
              <w:fldChar w:fldCharType="begin"/>
            </w:r>
            <w:r>
              <w:instrText xml:space="preserve"> PAGEREF _Toc100038 \h </w:instrText>
            </w:r>
            <w:r>
              <w:fldChar w:fldCharType="separate"/>
            </w:r>
            <w:r>
              <w:t>11</w:t>
            </w:r>
            <w:r>
              <w:fldChar w:fldCharType="end"/>
            </w:r>
          </w:hyperlink>
        </w:p>
        <w:p>
          <w:pPr>
            <w:pStyle w:val="11"/>
            <w:ind w:left="360"/>
            <w:tabs>
              <w:tab w:val="right" w:leader="dot" w:pos="9026"/>
            </w:tabs>
            <w:spacing w:before="120" w:after="60"/>
          </w:pPr>
          <w:hyperlink w:anchor="_Toc100039" w:history="1">
            <w:r>
              <w:rPr>
                <w:rStyle w:val="Hyperlink"/>
              </w:rPr>
              <w:t>3.6 China Market Deep-Dive</w:t>
            </w:r>
            <w:r>
              <w:tab/>
            </w:r>
            <w:r>
              <w:fldChar w:fldCharType="begin"/>
            </w:r>
            <w:r>
              <w:instrText xml:space="preserve"> PAGEREF _Toc100039 \h </w:instrText>
            </w:r>
            <w:r>
              <w:fldChar w:fldCharType="separate"/>
            </w:r>
            <w:r>
              <w:t>12</w:t>
            </w:r>
            <w:r>
              <w:fldChar w:fldCharType="end"/>
            </w:r>
          </w:hyperlink>
        </w:p>
        <w:p>
          <w:pPr>
            <w:pStyle w:val="9"/>
            <w:tabs>
              <w:tab w:val="right" w:leader="dot" w:pos="9026"/>
            </w:tabs>
            <w:spacing w:before="120" w:after="60"/>
          </w:pPr>
          <w:hyperlink w:anchor="_Toc100040" w:history="1">
            <w:r>
              <w:rPr>
                <w:rStyle w:val="Hyperlink"/>
              </w:rPr>
              <w:t>4. Problem Statement</w:t>
            </w:r>
            <w:r>
              <w:tab/>
            </w:r>
            <w:r>
              <w:fldChar w:fldCharType="begin"/>
            </w:r>
            <w:r>
              <w:instrText xml:space="preserve"> PAGEREF _Toc100040 \h </w:instrText>
            </w:r>
            <w:r>
              <w:fldChar w:fldCharType="separate"/>
            </w:r>
            <w:r>
              <w:t>12</w:t>
            </w:r>
            <w:r>
              <w:fldChar w:fldCharType="end"/>
            </w:r>
          </w:hyperlink>
        </w:p>
        <w:p>
          <w:pPr>
            <w:pStyle w:val="11"/>
            <w:ind w:left="360"/>
            <w:tabs>
              <w:tab w:val="right" w:leader="dot" w:pos="9026"/>
            </w:tabs>
            <w:spacing w:before="120" w:after="60"/>
          </w:pPr>
          <w:hyperlink w:anchor="_Toc100041" w:history="1">
            <w:r>
              <w:rPr>
                <w:rStyle w:val="Hyperlink"/>
              </w:rPr>
              <w:t>4.1 Current State of Scientific Software</w:t>
            </w:r>
            <w:r>
              <w:tab/>
            </w:r>
            <w:r>
              <w:fldChar w:fldCharType="begin"/>
            </w:r>
            <w:r>
              <w:instrText xml:space="preserve"> PAGEREF _Toc100041 \h </w:instrText>
            </w:r>
            <w:r>
              <w:fldChar w:fldCharType="separate"/>
            </w:r>
            <w:r>
              <w:t>12</w:t>
            </w:r>
            <w:r>
              <w:fldChar w:fldCharType="end"/>
            </w:r>
          </w:hyperlink>
        </w:p>
        <w:p>
          <w:pPr>
            <w:pStyle w:val="11"/>
            <w:ind w:left="360"/>
            <w:tabs>
              <w:tab w:val="right" w:leader="dot" w:pos="9026"/>
            </w:tabs>
            <w:spacing w:before="120" w:after="60"/>
          </w:pPr>
          <w:hyperlink w:anchor="_Toc100042" w:history="1">
            <w:r>
              <w:rPr>
                <w:rStyle w:val="Hyperlink"/>
              </w:rPr>
              <w:t>4.2 Pain Points by Stakeholder Type</w:t>
            </w:r>
            <w:r>
              <w:tab/>
            </w:r>
            <w:r>
              <w:fldChar w:fldCharType="begin"/>
            </w:r>
            <w:r>
              <w:instrText xml:space="preserve"> PAGEREF _Toc100042 \h </w:instrText>
            </w:r>
            <w:r>
              <w:fldChar w:fldCharType="separate"/>
            </w:r>
            <w:r>
              <w:t>13</w:t>
            </w:r>
            <w:r>
              <w:fldChar w:fldCharType="end"/>
            </w:r>
          </w:hyperlink>
        </w:p>
        <w:p>
          <w:pPr>
            <w:pStyle w:val="12"/>
            <w:ind w:left="720"/>
            <w:tabs>
              <w:tab w:val="right" w:leader="dot" w:pos="9026"/>
            </w:tabs>
            <w:spacing w:before="120" w:after="60"/>
          </w:pPr>
          <w:hyperlink w:anchor="_Toc100043" w:history="1">
            <w:r>
              <w:rPr>
                <w:rStyle w:val="Hyperlink"/>
              </w:rPr>
              <w:t>Individual Researchers</w:t>
            </w:r>
            <w:r>
              <w:tab/>
            </w:r>
            <w:r>
              <w:fldChar w:fldCharType="begin"/>
            </w:r>
            <w:r>
              <w:instrText xml:space="preserve"> PAGEREF _Toc100043 \h </w:instrText>
            </w:r>
            <w:r>
              <w:fldChar w:fldCharType="separate"/>
            </w:r>
            <w:r>
              <w:t>13</w:t>
            </w:r>
            <w:r>
              <w:fldChar w:fldCharType="end"/>
            </w:r>
          </w:hyperlink>
        </w:p>
        <w:p>
          <w:pPr>
            <w:pStyle w:val="12"/>
            <w:ind w:left="720"/>
            <w:tabs>
              <w:tab w:val="right" w:leader="dot" w:pos="9026"/>
            </w:tabs>
            <w:spacing w:before="120" w:after="60"/>
          </w:pPr>
          <w:hyperlink w:anchor="_Toc100044" w:history="1">
            <w:r>
              <w:rPr>
                <w:rStyle w:val="Hyperlink"/>
              </w:rPr>
              <w:t>Research Teams &amp; Labs</w:t>
            </w:r>
            <w:r>
              <w:tab/>
            </w:r>
            <w:r>
              <w:fldChar w:fldCharType="begin"/>
            </w:r>
            <w:r>
              <w:instrText xml:space="preserve"> PAGEREF _Toc100044 \h </w:instrText>
            </w:r>
            <w:r>
              <w:fldChar w:fldCharType="separate"/>
            </w:r>
            <w:r>
              <w:t>14</w:t>
            </w:r>
            <w:r>
              <w:fldChar w:fldCharType="end"/>
            </w:r>
          </w:hyperlink>
        </w:p>
        <w:p>
          <w:pPr>
            <w:pStyle w:val="12"/>
            <w:ind w:left="720"/>
            <w:tabs>
              <w:tab w:val="right" w:leader="dot" w:pos="9026"/>
            </w:tabs>
            <w:spacing w:before="120" w:after="60"/>
          </w:pPr>
          <w:hyperlink w:anchor="_Toc100045" w:history="1">
            <w:r>
              <w:rPr>
                <w:rStyle w:val="Hyperlink"/>
              </w:rPr>
              <w:t>Institutional Leadership</w:t>
            </w:r>
            <w:r>
              <w:tab/>
            </w:r>
            <w:r>
              <w:fldChar w:fldCharType="begin"/>
            </w:r>
            <w:r>
              <w:instrText xml:space="preserve"> PAGEREF _Toc100045 \h </w:instrText>
            </w:r>
            <w:r>
              <w:fldChar w:fldCharType="separate"/>
            </w:r>
            <w:r>
              <w:t>14</w:t>
            </w:r>
            <w:r>
              <w:fldChar w:fldCharType="end"/>
            </w:r>
          </w:hyperlink>
        </w:p>
        <w:p>
          <w:pPr>
            <w:pStyle w:val="11"/>
            <w:ind w:left="360"/>
            <w:tabs>
              <w:tab w:val="right" w:leader="dot" w:pos="9026"/>
            </w:tabs>
            <w:spacing w:before="120" w:after="60"/>
          </w:pPr>
          <w:hyperlink w:anchor="_Toc100046" w:history="1">
            <w:r>
              <w:rPr>
                <w:rStyle w:val="Hyperlink"/>
              </w:rPr>
              <w:t>4.3 Cost of the Problem (Quantified)</w:t>
            </w:r>
            <w:r>
              <w:tab/>
            </w:r>
            <w:r>
              <w:fldChar w:fldCharType="begin"/>
            </w:r>
            <w:r>
              <w:instrText xml:space="preserve"> PAGEREF _Toc100046 \h </w:instrText>
            </w:r>
            <w:r>
              <w:fldChar w:fldCharType="separate"/>
            </w:r>
            <w:r>
              <w:t>15</w:t>
            </w:r>
            <w:r>
              <w:fldChar w:fldCharType="end"/>
            </w:r>
          </w:hyperlink>
        </w:p>
        <w:p>
          <w:pPr>
            <w:pStyle w:val="11"/>
            <w:ind w:left="360"/>
            <w:tabs>
              <w:tab w:val="right" w:leader="dot" w:pos="9026"/>
            </w:tabs>
            <w:spacing w:before="120" w:after="60"/>
          </w:pPr>
          <w:hyperlink w:anchor="_Toc100047" w:history="1">
            <w:r>
              <w:rPr>
                <w:rStyle w:val="Hyperlink"/>
              </w:rPr>
              <w:t>4.4 Market Validation Evidence</w:t>
            </w:r>
            <w:r>
              <w:tab/>
            </w:r>
            <w:r>
              <w:fldChar w:fldCharType="begin"/>
            </w:r>
            <w:r>
              <w:instrText xml:space="preserve"> PAGEREF _Toc100047 \h </w:instrText>
            </w:r>
            <w:r>
              <w:fldChar w:fldCharType="separate"/>
            </w:r>
            <w:r>
              <w:t>16</w:t>
            </w:r>
            <w:r>
              <w:fldChar w:fldCharType="end"/>
            </w:r>
          </w:hyperlink>
        </w:p>
        <w:p>
          <w:pPr>
            <w:pStyle w:val="9"/>
            <w:tabs>
              <w:tab w:val="right" w:leader="dot" w:pos="9026"/>
            </w:tabs>
            <w:spacing w:before="120" w:after="60"/>
          </w:pPr>
          <w:hyperlink w:anchor="_Toc100048" w:history="1">
            <w:r>
              <w:rPr>
                <w:rStyle w:val="Hyperlink"/>
              </w:rPr>
              <w:t>5. Solution - The AETH-1 Platform</w:t>
            </w:r>
            <w:r>
              <w:tab/>
            </w:r>
            <w:r>
              <w:fldChar w:fldCharType="begin"/>
            </w:r>
            <w:r>
              <w:instrText xml:space="preserve"> PAGEREF _Toc100048 \h </w:instrText>
            </w:r>
            <w:r>
              <w:fldChar w:fldCharType="separate"/>
            </w:r>
            <w:r>
              <w:t>17</w:t>
            </w:r>
            <w:r>
              <w:fldChar w:fldCharType="end"/>
            </w:r>
          </w:hyperlink>
        </w:p>
        <w:p>
          <w:pPr>
            <w:pStyle w:val="11"/>
            <w:ind w:left="360"/>
            <w:tabs>
              <w:tab w:val="right" w:leader="dot" w:pos="9026"/>
            </w:tabs>
            <w:spacing w:before="120" w:after="60"/>
          </w:pPr>
          <w:hyperlink w:anchor="_Toc100049" w:history="1">
            <w:r>
              <w:rPr>
                <w:rStyle w:val="Hyperlink"/>
              </w:rPr>
              <w:t>5.1 Product Overview</w:t>
            </w:r>
            <w:r>
              <w:tab/>
            </w:r>
            <w:r>
              <w:fldChar w:fldCharType="begin"/>
            </w:r>
            <w:r>
              <w:instrText xml:space="preserve"> PAGEREF _Toc100049 \h </w:instrText>
            </w:r>
            <w:r>
              <w:fldChar w:fldCharType="separate"/>
            </w:r>
            <w:r>
              <w:t>17</w:t>
            </w:r>
            <w:r>
              <w:fldChar w:fldCharType="end"/>
            </w:r>
          </w:hyperlink>
        </w:p>
        <w:p>
          <w:pPr>
            <w:pStyle w:val="11"/>
            <w:ind w:left="360"/>
            <w:tabs>
              <w:tab w:val="right" w:leader="dot" w:pos="9026"/>
            </w:tabs>
            <w:spacing w:before="120" w:after="60"/>
          </w:pPr>
          <w:hyperlink w:anchor="_Toc100050" w:history="1">
            <w:r>
              <w:rPr>
                <w:rStyle w:val="Hyperlink"/>
              </w:rPr>
              <w:t>5.2 Key Features and Capabilities</w:t>
            </w:r>
            <w:r>
              <w:tab/>
            </w:r>
            <w:r>
              <w:fldChar w:fldCharType="begin"/>
            </w:r>
            <w:r>
              <w:instrText xml:space="preserve"> PAGEREF _Toc100050 \h </w:instrText>
            </w:r>
            <w:r>
              <w:fldChar w:fldCharType="separate"/>
            </w:r>
            <w:r>
              <w:t>17</w:t>
            </w:r>
            <w:r>
              <w:fldChar w:fldCharType="end"/>
            </w:r>
          </w:hyperlink>
        </w:p>
        <w:p>
          <w:pPr>
            <w:pStyle w:val="12"/>
            <w:ind w:left="720"/>
            <w:tabs>
              <w:tab w:val="right" w:leader="dot" w:pos="9026"/>
            </w:tabs>
            <w:spacing w:before="120" w:after="60"/>
          </w:pPr>
          <w:hyperlink w:anchor="_Toc100051" w:history="1">
            <w:r>
              <w:rPr>
                <w:rStyle w:val="Hyperlink"/>
              </w:rPr>
              <w:t>Unified Workspace</w:t>
            </w:r>
            <w:r>
              <w:tab/>
            </w:r>
            <w:r>
              <w:fldChar w:fldCharType="begin"/>
            </w:r>
            <w:r>
              <w:instrText xml:space="preserve"> PAGEREF _Toc100051 \h </w:instrText>
            </w:r>
            <w:r>
              <w:fldChar w:fldCharType="separate"/>
            </w:r>
            <w:r>
              <w:t>17</w:t>
            </w:r>
            <w:r>
              <w:fldChar w:fldCharType="end"/>
            </w:r>
          </w:hyperlink>
        </w:p>
        <w:p>
          <w:pPr>
            <w:pStyle w:val="12"/>
            <w:ind w:left="720"/>
            <w:tabs>
              <w:tab w:val="right" w:leader="dot" w:pos="9026"/>
            </w:tabs>
            <w:spacing w:before="120" w:after="60"/>
          </w:pPr>
          <w:hyperlink w:anchor="_Toc100052" w:history="1">
            <w:r>
              <w:rPr>
                <w:rStyle w:val="Hyperlink"/>
              </w:rPr>
              <w:t>Intelligent Automation</w:t>
            </w:r>
            <w:r>
              <w:tab/>
            </w:r>
            <w:r>
              <w:fldChar w:fldCharType="begin"/>
            </w:r>
            <w:r>
              <w:instrText xml:space="preserve"> PAGEREF _Toc100052 \h </w:instrText>
            </w:r>
            <w:r>
              <w:fldChar w:fldCharType="separate"/>
            </w:r>
            <w:r>
              <w:t>17</w:t>
            </w:r>
            <w:r>
              <w:fldChar w:fldCharType="end"/>
            </w:r>
          </w:hyperlink>
        </w:p>
        <w:p>
          <w:pPr>
            <w:pStyle w:val="12"/>
            <w:ind w:left="720"/>
            <w:tabs>
              <w:tab w:val="right" w:leader="dot" w:pos="9026"/>
            </w:tabs>
            <w:spacing w:before="120" w:after="60"/>
          </w:pPr>
          <w:hyperlink w:anchor="_Toc100053" w:history="1">
            <w:r>
              <w:rPr>
                <w:rStyle w:val="Hyperlink"/>
              </w:rPr>
              <w:t>Collaboration Suite</w:t>
            </w:r>
            <w:r>
              <w:tab/>
            </w:r>
            <w:r>
              <w:fldChar w:fldCharType="begin"/>
            </w:r>
            <w:r>
              <w:instrText xml:space="preserve"> PAGEREF _Toc100053 \h </w:instrText>
            </w:r>
            <w:r>
              <w:fldChar w:fldCharType="separate"/>
            </w:r>
            <w:r>
              <w:t>18</w:t>
            </w:r>
            <w:r>
              <w:fldChar w:fldCharType="end"/>
            </w:r>
          </w:hyperlink>
        </w:p>
        <w:p>
          <w:pPr>
            <w:pStyle w:val="12"/>
            <w:ind w:left="720"/>
            <w:tabs>
              <w:tab w:val="right" w:leader="dot" w:pos="9026"/>
            </w:tabs>
            <w:spacing w:before="120" w:after="60"/>
          </w:pPr>
          <w:hyperlink w:anchor="_Toc100054" w:history="1">
            <w:r>
              <w:rPr>
                <w:rStyle w:val="Hyperlink"/>
              </w:rPr>
              <w:t>Compute Orchestrator</w:t>
            </w:r>
            <w:r>
              <w:tab/>
            </w:r>
            <w:r>
              <w:fldChar w:fldCharType="begin"/>
            </w:r>
            <w:r>
              <w:instrText xml:space="preserve"> PAGEREF _Toc100054 \h </w:instrText>
            </w:r>
            <w:r>
              <w:fldChar w:fldCharType="separate"/>
            </w:r>
            <w:r>
              <w:t>18</w:t>
            </w:r>
            <w:r>
              <w:fldChar w:fldCharType="end"/>
            </w:r>
          </w:hyperlink>
        </w:p>
        <w:p>
          <w:pPr>
            <w:pStyle w:val="12"/>
            <w:ind w:left="720"/>
            <w:tabs>
              <w:tab w:val="right" w:leader="dot" w:pos="9026"/>
            </w:tabs>
            <w:spacing w:before="120" w:after="60"/>
          </w:pPr>
          <w:hyperlink w:anchor="_Toc100055" w:history="1">
            <w:r>
              <w:rPr>
                <w:rStyle w:val="Hyperlink"/>
              </w:rPr>
              <w:t>Reproducibility Engine</w:t>
            </w:r>
            <w:r>
              <w:tab/>
            </w:r>
            <w:r>
              <w:fldChar w:fldCharType="begin"/>
            </w:r>
            <w:r>
              <w:instrText xml:space="preserve"> PAGEREF _Toc100055 \h </w:instrText>
            </w:r>
            <w:r>
              <w:fldChar w:fldCharType="separate"/>
            </w:r>
            <w:r>
              <w:t>18</w:t>
            </w:r>
            <w:r>
              <w:fldChar w:fldCharType="end"/>
            </w:r>
          </w:hyperlink>
        </w:p>
        <w:p>
          <w:pPr>
            <w:pStyle w:val="12"/>
            <w:ind w:left="720"/>
            <w:tabs>
              <w:tab w:val="right" w:leader="dot" w:pos="9026"/>
            </w:tabs>
            <w:spacing w:before="120" w:after="60"/>
          </w:pPr>
          <w:hyperlink w:anchor="_Toc100056" w:history="1">
            <w:r>
              <w:rPr>
                <w:rStyle w:val="Hyperlink"/>
              </w:rPr>
              <w:t>Integration Hub</w:t>
            </w:r>
            <w:r>
              <w:tab/>
            </w:r>
            <w:r>
              <w:fldChar w:fldCharType="begin"/>
            </w:r>
            <w:r>
              <w:instrText xml:space="preserve"> PAGEREF _Toc100056 \h </w:instrText>
            </w:r>
            <w:r>
              <w:fldChar w:fldCharType="separate"/>
            </w:r>
            <w:r>
              <w:t>18</w:t>
            </w:r>
            <w:r>
              <w:fldChar w:fldCharType="end"/>
            </w:r>
          </w:hyperlink>
        </w:p>
        <w:p>
          <w:pPr>
            <w:pStyle w:val="11"/>
            <w:ind w:left="360"/>
            <w:tabs>
              <w:tab w:val="right" w:leader="dot" w:pos="9026"/>
            </w:tabs>
            <w:spacing w:before="120" w:after="60"/>
          </w:pPr>
          <w:hyperlink w:anchor="_Toc100057" w:history="1">
            <w:r>
              <w:rPr>
                <w:rStyle w:val="Hyperlink"/>
              </w:rPr>
              <w:t>5.3 User Experience Walkthrough</w:t>
            </w:r>
            <w:r>
              <w:tab/>
            </w:r>
            <w:r>
              <w:fldChar w:fldCharType="begin"/>
            </w:r>
            <w:r>
              <w:instrText xml:space="preserve"> PAGEREF _Toc100057 \h </w:instrText>
            </w:r>
            <w:r>
              <w:fldChar w:fldCharType="separate"/>
            </w:r>
            <w:r>
              <w:t>19</w:t>
            </w:r>
            <w:r>
              <w:fldChar w:fldCharType="end"/>
            </w:r>
          </w:hyperlink>
        </w:p>
        <w:p>
          <w:pPr>
            <w:pStyle w:val="11"/>
            <w:ind w:left="360"/>
            <w:tabs>
              <w:tab w:val="right" w:leader="dot" w:pos="9026"/>
            </w:tabs>
            <w:spacing w:before="120" w:after="60"/>
          </w:pPr>
          <w:hyperlink w:anchor="_Toc100058" w:history="1">
            <w:r>
              <w:rPr>
                <w:rStyle w:val="Hyperlink"/>
              </w:rPr>
              <w:t>5.4 Technical Architecture Overview</w:t>
            </w:r>
            <w:r>
              <w:tab/>
            </w:r>
            <w:r>
              <w:fldChar w:fldCharType="begin"/>
            </w:r>
            <w:r>
              <w:instrText xml:space="preserve"> PAGEREF _Toc100058 \h </w:instrText>
            </w:r>
            <w:r>
              <w:fldChar w:fldCharType="separate"/>
            </w:r>
            <w:r>
              <w:t>20</w:t>
            </w:r>
            <w:r>
              <w:fldChar w:fldCharType="end"/>
            </w:r>
          </w:hyperlink>
        </w:p>
        <w:p>
          <w:pPr>
            <w:pStyle w:val="12"/>
            <w:ind w:left="720"/>
            <w:tabs>
              <w:tab w:val="right" w:leader="dot" w:pos="9026"/>
            </w:tabs>
            <w:spacing w:before="120" w:after="60"/>
          </w:pPr>
          <w:hyperlink w:anchor="_Toc100059" w:history="1">
            <w:r>
              <w:rPr>
                <w:rStyle w:val="Hyperlink"/>
              </w:rPr>
              <w:t>Frontend Layer</w:t>
            </w:r>
            <w:r>
              <w:tab/>
            </w:r>
            <w:r>
              <w:fldChar w:fldCharType="begin"/>
            </w:r>
            <w:r>
              <w:instrText xml:space="preserve"> PAGEREF _Toc100059 \h </w:instrText>
            </w:r>
            <w:r>
              <w:fldChar w:fldCharType="separate"/>
            </w:r>
            <w:r>
              <w:t>20</w:t>
            </w:r>
            <w:r>
              <w:fldChar w:fldCharType="end"/>
            </w:r>
          </w:hyperlink>
        </w:p>
        <w:p>
          <w:pPr>
            <w:pStyle w:val="12"/>
            <w:ind w:left="720"/>
            <w:tabs>
              <w:tab w:val="right" w:leader="dot" w:pos="9026"/>
            </w:tabs>
            <w:spacing w:before="120" w:after="60"/>
          </w:pPr>
          <w:hyperlink w:anchor="_Toc100060" w:history="1">
            <w:r>
              <w:rPr>
                <w:rStyle w:val="Hyperlink"/>
              </w:rPr>
              <w:t>API Gateway</w:t>
            </w:r>
            <w:r>
              <w:tab/>
            </w:r>
            <w:r>
              <w:fldChar w:fldCharType="begin"/>
            </w:r>
            <w:r>
              <w:instrText xml:space="preserve"> PAGEREF _Toc100060 \h </w:instrText>
            </w:r>
            <w:r>
              <w:fldChar w:fldCharType="separate"/>
            </w:r>
            <w:r>
              <w:t>21</w:t>
            </w:r>
            <w:r>
              <w:fldChar w:fldCharType="end"/>
            </w:r>
          </w:hyperlink>
        </w:p>
        <w:p>
          <w:pPr>
            <w:pStyle w:val="12"/>
            <w:ind w:left="720"/>
            <w:tabs>
              <w:tab w:val="right" w:leader="dot" w:pos="9026"/>
            </w:tabs>
            <w:spacing w:before="120" w:after="60"/>
          </w:pPr>
          <w:hyperlink w:anchor="_Toc100061" w:history="1">
            <w:r>
              <w:rPr>
                <w:rStyle w:val="Hyperlink"/>
              </w:rPr>
              <w:t>Core Services</w:t>
            </w:r>
            <w:r>
              <w:tab/>
            </w:r>
            <w:r>
              <w:fldChar w:fldCharType="begin"/>
            </w:r>
            <w:r>
              <w:instrText xml:space="preserve"> PAGEREF _Toc100061 \h </w:instrText>
            </w:r>
            <w:r>
              <w:fldChar w:fldCharType="separate"/>
            </w:r>
            <w:r>
              <w:t>21</w:t>
            </w:r>
            <w:r>
              <w:fldChar w:fldCharType="end"/>
            </w:r>
          </w:hyperlink>
        </w:p>
        <w:p>
          <w:pPr>
            <w:pStyle w:val="12"/>
            <w:ind w:left="720"/>
            <w:tabs>
              <w:tab w:val="right" w:leader="dot" w:pos="9026"/>
            </w:tabs>
            <w:spacing w:before="120" w:after="60"/>
          </w:pPr>
          <w:hyperlink w:anchor="_Toc100062" w:history="1">
            <w:r>
              <w:rPr>
                <w:rStyle w:val="Hyperlink"/>
              </w:rPr>
              <w:t>Compute Layer</w:t>
            </w:r>
            <w:r>
              <w:tab/>
            </w:r>
            <w:r>
              <w:fldChar w:fldCharType="begin"/>
            </w:r>
            <w:r>
              <w:instrText xml:space="preserve"> PAGEREF _Toc100062 \h </w:instrText>
            </w:r>
            <w:r>
              <w:fldChar w:fldCharType="separate"/>
            </w:r>
            <w:r>
              <w:t>21</w:t>
            </w:r>
            <w:r>
              <w:fldChar w:fldCharType="end"/>
            </w:r>
          </w:hyperlink>
        </w:p>
        <w:p>
          <w:pPr>
            <w:pStyle w:val="12"/>
            <w:ind w:left="720"/>
            <w:tabs>
              <w:tab w:val="right" w:leader="dot" w:pos="9026"/>
            </w:tabs>
            <w:spacing w:before="120" w:after="60"/>
          </w:pPr>
          <w:hyperlink w:anchor="_Toc100063" w:history="1">
            <w:r>
              <w:rPr>
                <w:rStyle w:val="Hyperlink"/>
              </w:rPr>
              <w:t>Data Layer</w:t>
            </w:r>
            <w:r>
              <w:tab/>
            </w:r>
            <w:r>
              <w:fldChar w:fldCharType="begin"/>
            </w:r>
            <w:r>
              <w:instrText xml:space="preserve"> PAGEREF _Toc100063 \h </w:instrText>
            </w:r>
            <w:r>
              <w:fldChar w:fldCharType="separate"/>
            </w:r>
            <w:r>
              <w:t>21</w:t>
            </w:r>
            <w:r>
              <w:fldChar w:fldCharType="end"/>
            </w:r>
          </w:hyperlink>
        </w:p>
        <w:p>
          <w:pPr>
            <w:pStyle w:val="11"/>
            <w:ind w:left="360"/>
            <w:tabs>
              <w:tab w:val="right" w:leader="dot" w:pos="9026"/>
            </w:tabs>
            <w:spacing w:before="120" w:after="60"/>
          </w:pPr>
          <w:hyperlink w:anchor="_Toc100064" w:history="1">
            <w:r>
              <w:rPr>
                <w:rStyle w:val="Hyperlink"/>
              </w:rPr>
              <w:t>5.5 Competitive Differentiation</w:t>
            </w:r>
            <w:r>
              <w:tab/>
            </w:r>
            <w:r>
              <w:fldChar w:fldCharType="begin"/>
            </w:r>
            <w:r>
              <w:instrText xml:space="preserve"> PAGEREF _Toc100064 \h </w:instrText>
            </w:r>
            <w:r>
              <w:fldChar w:fldCharType="separate"/>
            </w:r>
            <w:r>
              <w:t>22</w:t>
            </w:r>
            <w:r>
              <w:fldChar w:fldCharType="end"/>
            </w:r>
          </w:hyperlink>
        </w:p>
        <w:p>
          <w:pPr>
            <w:pStyle w:val="9"/>
            <w:tabs>
              <w:tab w:val="right" w:leader="dot" w:pos="9026"/>
            </w:tabs>
            <w:spacing w:before="120" w:after="60"/>
          </w:pPr>
          <w:hyperlink w:anchor="_Toc100065" w:history="1">
            <w:r>
              <w:rPr>
                <w:rStyle w:val="Hyperlink"/>
              </w:rPr>
              <w:t>6. Business Model</w:t>
            </w:r>
            <w:r>
              <w:tab/>
            </w:r>
            <w:r>
              <w:fldChar w:fldCharType="begin"/>
            </w:r>
            <w:r>
              <w:instrText xml:space="preserve"> PAGEREF _Toc100065 \h </w:instrText>
            </w:r>
            <w:r>
              <w:fldChar w:fldCharType="separate"/>
            </w:r>
            <w:r>
              <w:t>22</w:t>
            </w:r>
            <w:r>
              <w:fldChar w:fldCharType="end"/>
            </w:r>
          </w:hyperlink>
        </w:p>
        <w:p>
          <w:pPr>
            <w:pStyle w:val="11"/>
            <w:ind w:left="360"/>
            <w:tabs>
              <w:tab w:val="right" w:leader="dot" w:pos="9026"/>
            </w:tabs>
            <w:spacing w:before="120" w:after="60"/>
          </w:pPr>
          <w:hyperlink w:anchor="_Toc100066" w:history="1">
            <w:r>
              <w:rPr>
                <w:rStyle w:val="Hyperlink"/>
              </w:rPr>
              <w:t>6.1 Revenue Streams</w:t>
            </w:r>
            <w:r>
              <w:tab/>
            </w:r>
            <w:r>
              <w:fldChar w:fldCharType="begin"/>
            </w:r>
            <w:r>
              <w:instrText xml:space="preserve"> PAGEREF _Toc100066 \h </w:instrText>
            </w:r>
            <w:r>
              <w:fldChar w:fldCharType="separate"/>
            </w:r>
            <w:r>
              <w:t>22</w:t>
            </w:r>
            <w:r>
              <w:fldChar w:fldCharType="end"/>
            </w:r>
          </w:hyperlink>
        </w:p>
        <w:p>
          <w:pPr>
            <w:pStyle w:val="12"/>
            <w:ind w:left="720"/>
            <w:tabs>
              <w:tab w:val="right" w:leader="dot" w:pos="9026"/>
            </w:tabs>
            <w:spacing w:before="120" w:after="60"/>
          </w:pPr>
          <w:hyperlink w:anchor="_Toc100067" w:history="1">
            <w:r>
              <w:rPr>
                <w:rStyle w:val="Hyperlink"/>
              </w:rPr>
              <w:t>Subscription Tiers</w:t>
            </w:r>
            <w:r>
              <w:tab/>
            </w:r>
            <w:r>
              <w:fldChar w:fldCharType="begin"/>
            </w:r>
            <w:r>
              <w:instrText xml:space="preserve"> PAGEREF _Toc100067 \h </w:instrText>
            </w:r>
            <w:r>
              <w:fldChar w:fldCharType="separate"/>
            </w:r>
            <w:r>
              <w:t>22</w:t>
            </w:r>
            <w:r>
              <w:fldChar w:fldCharType="end"/>
            </w:r>
          </w:hyperlink>
        </w:p>
        <w:p>
          <w:pPr>
            <w:pStyle w:val="12"/>
            <w:ind w:left="720"/>
            <w:tabs>
              <w:tab w:val="right" w:leader="dot" w:pos="9026"/>
            </w:tabs>
            <w:spacing w:before="120" w:after="60"/>
          </w:pPr>
          <w:hyperlink w:anchor="_Toc100068" w:history="1">
            <w:r>
              <w:rPr>
                <w:rStyle w:val="Hyperlink"/>
              </w:rPr>
              <w:t>Compute Credits</w:t>
            </w:r>
            <w:r>
              <w:tab/>
            </w:r>
            <w:r>
              <w:fldChar w:fldCharType="begin"/>
            </w:r>
            <w:r>
              <w:instrText xml:space="preserve"> PAGEREF _Toc100068 \h </w:instrText>
            </w:r>
            <w:r>
              <w:fldChar w:fldCharType="separate"/>
            </w:r>
            <w:r>
              <w:t>22</w:t>
            </w:r>
            <w:r>
              <w:fldChar w:fldCharType="end"/>
            </w:r>
          </w:hyperlink>
        </w:p>
        <w:p>
          <w:pPr>
            <w:pStyle w:val="12"/>
            <w:ind w:left="720"/>
            <w:tabs>
              <w:tab w:val="right" w:leader="dot" w:pos="9026"/>
            </w:tabs>
            <w:spacing w:before="120" w:after="60"/>
          </w:pPr>
          <w:hyperlink w:anchor="_Toc100069" w:history="1">
            <w:r>
              <w:rPr>
                <w:rStyle w:val="Hyperlink"/>
              </w:rPr>
              <w:t>Marketplace Commissions</w:t>
            </w:r>
            <w:r>
              <w:tab/>
            </w:r>
            <w:r>
              <w:fldChar w:fldCharType="begin"/>
            </w:r>
            <w:r>
              <w:instrText xml:space="preserve"> PAGEREF _Toc100069 \h </w:instrText>
            </w:r>
            <w:r>
              <w:fldChar w:fldCharType="separate"/>
            </w:r>
            <w:r>
              <w:t>23</w:t>
            </w:r>
            <w:r>
              <w:fldChar w:fldCharType="end"/>
            </w:r>
          </w:hyperlink>
        </w:p>
        <w:p>
          <w:pPr>
            <w:pStyle w:val="12"/>
            <w:ind w:left="720"/>
            <w:tabs>
              <w:tab w:val="right" w:leader="dot" w:pos="9026"/>
            </w:tabs>
            <w:spacing w:before="120" w:after="60"/>
          </w:pPr>
          <w:hyperlink w:anchor="_Toc100070" w:history="1">
            <w:r>
              <w:rPr>
                <w:rStyle w:val="Hyperlink"/>
              </w:rPr>
              <w:t>Training &amp; Certification</w:t>
            </w:r>
            <w:r>
              <w:tab/>
            </w:r>
            <w:r>
              <w:fldChar w:fldCharType="begin"/>
            </w:r>
            <w:r>
              <w:instrText xml:space="preserve"> PAGEREF _Toc100070 \h </w:instrText>
            </w:r>
            <w:r>
              <w:fldChar w:fldCharType="separate"/>
            </w:r>
            <w:r>
              <w:t>23</w:t>
            </w:r>
            <w:r>
              <w:fldChar w:fldCharType="end"/>
            </w:r>
          </w:hyperlink>
        </w:p>
        <w:p>
          <w:pPr>
            <w:pStyle w:val="12"/>
            <w:ind w:left="720"/>
            <w:tabs>
              <w:tab w:val="right" w:leader="dot" w:pos="9026"/>
            </w:tabs>
            <w:spacing w:before="120" w:after="60"/>
          </w:pPr>
          <w:hyperlink w:anchor="_Toc100071" w:history="1">
            <w:r>
              <w:rPr>
                <w:rStyle w:val="Hyperlink"/>
              </w:rPr>
              <w:t>Professional Services</w:t>
            </w:r>
            <w:r>
              <w:tab/>
            </w:r>
            <w:r>
              <w:fldChar w:fldCharType="begin"/>
            </w:r>
            <w:r>
              <w:instrText xml:space="preserve"> PAGEREF _Toc100071 \h </w:instrText>
            </w:r>
            <w:r>
              <w:fldChar w:fldCharType="separate"/>
            </w:r>
            <w:r>
              <w:t>23</w:t>
            </w:r>
            <w:r>
              <w:fldChar w:fldCharType="end"/>
            </w:r>
          </w:hyperlink>
        </w:p>
        <w:p>
          <w:pPr>
            <w:pStyle w:val="11"/>
            <w:ind w:left="360"/>
            <w:tabs>
              <w:tab w:val="right" w:leader="dot" w:pos="9026"/>
            </w:tabs>
            <w:spacing w:before="120" w:after="60"/>
          </w:pPr>
          <w:hyperlink w:anchor="_Toc100072" w:history="1">
            <w:r>
              <w:rPr>
                <w:rStyle w:val="Hyperlink"/>
              </w:rPr>
              <w:t>6.2 Pricing Strategy</w:t>
            </w:r>
            <w:r>
              <w:tab/>
            </w:r>
            <w:r>
              <w:fldChar w:fldCharType="begin"/>
            </w:r>
            <w:r>
              <w:instrText xml:space="preserve"> PAGEREF _Toc100072 \h </w:instrText>
            </w:r>
            <w:r>
              <w:fldChar w:fldCharType="separate"/>
            </w:r>
            <w:r>
              <w:t>23</w:t>
            </w:r>
            <w:r>
              <w:fldChar w:fldCharType="end"/>
            </w:r>
          </w:hyperlink>
        </w:p>
        <w:p>
          <w:pPr>
            <w:pStyle w:val="11"/>
            <w:ind w:left="360"/>
            <w:tabs>
              <w:tab w:val="right" w:leader="dot" w:pos="9026"/>
            </w:tabs>
            <w:spacing w:before="120" w:after="60"/>
          </w:pPr>
          <w:hyperlink w:anchor="_Toc100073" w:history="1">
            <w:r>
              <w:rPr>
                <w:rStyle w:val="Hyperlink"/>
              </w:rPr>
              <w:t>6.3 Unit Economics</w:t>
            </w:r>
            <w:r>
              <w:tab/>
            </w:r>
            <w:r>
              <w:fldChar w:fldCharType="begin"/>
            </w:r>
            <w:r>
              <w:instrText xml:space="preserve"> PAGEREF _Toc100073 \h </w:instrText>
            </w:r>
            <w:r>
              <w:fldChar w:fldCharType="separate"/>
            </w:r>
            <w:r>
              <w:t>24</w:t>
            </w:r>
            <w:r>
              <w:fldChar w:fldCharType="end"/>
            </w:r>
          </w:hyperlink>
        </w:p>
        <w:p>
          <w:pPr>
            <w:pStyle w:val="11"/>
            <w:ind w:left="360"/>
            <w:tabs>
              <w:tab w:val="right" w:leader="dot" w:pos="9026"/>
            </w:tabs>
            <w:spacing w:before="120" w:after="60"/>
          </w:pPr>
          <w:hyperlink w:anchor="_Toc100074" w:history="1">
            <w:r>
              <w:rPr>
                <w:rStyle w:val="Hyperlink"/>
              </w:rPr>
              <w:t>6.4 Financial Projections (5 Years)</w:t>
            </w:r>
            <w:r>
              <w:tab/>
            </w:r>
            <w:r>
              <w:fldChar w:fldCharType="begin"/>
            </w:r>
            <w:r>
              <w:instrText xml:space="preserve"> PAGEREF _Toc100074 \h </w:instrText>
            </w:r>
            <w:r>
              <w:fldChar w:fldCharType="separate"/>
            </w:r>
            <w:r>
              <w:t>24</w:t>
            </w:r>
            <w:r>
              <w:fldChar w:fldCharType="end"/>
            </w:r>
          </w:hyperlink>
        </w:p>
        <w:p>
          <w:pPr>
            <w:pStyle w:val="9"/>
            <w:tabs>
              <w:tab w:val="right" w:leader="dot" w:pos="9026"/>
            </w:tabs>
            <w:spacing w:before="120" w:after="60"/>
          </w:pPr>
          <w:hyperlink w:anchor="_Toc100075" w:history="1">
            <w:r>
              <w:rPr>
                <w:rStyle w:val="Hyperlink"/>
              </w:rPr>
              <w:t>7. Go-to-Market Strategy</w:t>
            </w:r>
            <w:r>
              <w:tab/>
            </w:r>
            <w:r>
              <w:fldChar w:fldCharType="begin"/>
            </w:r>
            <w:r>
              <w:instrText xml:space="preserve"> PAGEREF _Toc100075 \h </w:instrText>
            </w:r>
            <w:r>
              <w:fldChar w:fldCharType="separate"/>
            </w:r>
            <w:r>
              <w:t>24</w:t>
            </w:r>
            <w:r>
              <w:fldChar w:fldCharType="end"/>
            </w:r>
          </w:hyperlink>
        </w:p>
        <w:p>
          <w:pPr>
            <w:pStyle w:val="11"/>
            <w:ind w:left="360"/>
            <w:tabs>
              <w:tab w:val="right" w:leader="dot" w:pos="9026"/>
            </w:tabs>
            <w:spacing w:before="120" w:after="60"/>
          </w:pPr>
          <w:hyperlink w:anchor="_Toc100076" w:history="1">
            <w:r>
              <w:rPr>
                <w:rStyle w:val="Hyperlink"/>
              </w:rPr>
              <w:t>7.1 Sales and Distribution Model</w:t>
            </w:r>
            <w:r>
              <w:tab/>
            </w:r>
            <w:r>
              <w:fldChar w:fldCharType="begin"/>
            </w:r>
            <w:r>
              <w:instrText xml:space="preserve"> PAGEREF _Toc100076 \h </w:instrText>
            </w:r>
            <w:r>
              <w:fldChar w:fldCharType="separate"/>
            </w:r>
            <w:r>
              <w:t>25</w:t>
            </w:r>
            <w:r>
              <w:fldChar w:fldCharType="end"/>
            </w:r>
          </w:hyperlink>
        </w:p>
        <w:p>
          <w:pPr>
            <w:pStyle w:val="12"/>
            <w:ind w:left="720"/>
            <w:tabs>
              <w:tab w:val="right" w:leader="dot" w:pos="9026"/>
            </w:tabs>
            <w:spacing w:before="120" w:after="60"/>
          </w:pPr>
          <w:hyperlink w:anchor="_Toc100077" w:history="1">
            <w:r>
              <w:rPr>
                <w:rStyle w:val="Hyperlink"/>
              </w:rPr>
              <w:t>Self-Serve (Free/Pro Tiers)</w:t>
            </w:r>
            <w:r>
              <w:tab/>
            </w:r>
            <w:r>
              <w:fldChar w:fldCharType="begin"/>
            </w:r>
            <w:r>
              <w:instrText xml:space="preserve"> PAGEREF _Toc100077 \h </w:instrText>
            </w:r>
            <w:r>
              <w:fldChar w:fldCharType="separate"/>
            </w:r>
            <w:r>
              <w:t>25</w:t>
            </w:r>
            <w:r>
              <w:fldChar w:fldCharType="end"/>
            </w:r>
          </w:hyperlink>
        </w:p>
        <w:p>
          <w:pPr>
            <w:pStyle w:val="12"/>
            <w:ind w:left="720"/>
            <w:tabs>
              <w:tab w:val="right" w:leader="dot" w:pos="9026"/>
            </w:tabs>
            <w:spacing w:before="120" w:after="60"/>
          </w:pPr>
          <w:hyperlink w:anchor="_Toc100078" w:history="1">
            <w:r>
              <w:rPr>
                <w:rStyle w:val="Hyperlink"/>
              </w:rPr>
              <w:t>Inside Sales (Team Tier)</w:t>
            </w:r>
            <w:r>
              <w:tab/>
            </w:r>
            <w:r>
              <w:fldChar w:fldCharType="begin"/>
            </w:r>
            <w:r>
              <w:instrText xml:space="preserve"> PAGEREF _Toc100078 \h </w:instrText>
            </w:r>
            <w:r>
              <w:fldChar w:fldCharType="separate"/>
            </w:r>
            <w:r>
              <w:t>25</w:t>
            </w:r>
            <w:r>
              <w:fldChar w:fldCharType="end"/>
            </w:r>
          </w:hyperlink>
        </w:p>
        <w:p>
          <w:pPr>
            <w:pStyle w:val="12"/>
            <w:ind w:left="720"/>
            <w:tabs>
              <w:tab w:val="right" w:leader="dot" w:pos="9026"/>
            </w:tabs>
            <w:spacing w:before="120" w:after="60"/>
          </w:pPr>
          <w:hyperlink w:anchor="_Toc100079" w:history="1">
            <w:r>
              <w:rPr>
                <w:rStyle w:val="Hyperlink"/>
              </w:rPr>
              <w:t>Field Sales (Enterprise)</w:t>
            </w:r>
            <w:r>
              <w:tab/>
            </w:r>
            <w:r>
              <w:fldChar w:fldCharType="begin"/>
            </w:r>
            <w:r>
              <w:instrText xml:space="preserve"> PAGEREF _Toc100079 \h </w:instrText>
            </w:r>
            <w:r>
              <w:fldChar w:fldCharType="separate"/>
            </w:r>
            <w:r>
              <w:t>25</w:t>
            </w:r>
            <w:r>
              <w:fldChar w:fldCharType="end"/>
            </w:r>
          </w:hyperlink>
        </w:p>
        <w:p>
          <w:pPr>
            <w:pStyle w:val="12"/>
            <w:ind w:left="720"/>
            <w:tabs>
              <w:tab w:val="right" w:leader="dot" w:pos="9026"/>
            </w:tabs>
            <w:spacing w:before="120" w:after="60"/>
          </w:pPr>
          <w:hyperlink w:anchor="_Toc100080" w:history="1">
            <w:r>
              <w:rPr>
                <w:rStyle w:val="Hyperlink"/>
              </w:rPr>
              <w:t>Channel Partners</w:t>
            </w:r>
            <w:r>
              <w:tab/>
            </w:r>
            <w:r>
              <w:fldChar w:fldCharType="begin"/>
            </w:r>
            <w:r>
              <w:instrText xml:space="preserve"> PAGEREF _Toc100080 \h </w:instrText>
            </w:r>
            <w:r>
              <w:fldChar w:fldCharType="separate"/>
            </w:r>
            <w:r>
              <w:t>25</w:t>
            </w:r>
            <w:r>
              <w:fldChar w:fldCharType="end"/>
            </w:r>
          </w:hyperlink>
        </w:p>
        <w:p>
          <w:pPr>
            <w:pStyle w:val="11"/>
            <w:ind w:left="360"/>
            <w:tabs>
              <w:tab w:val="right" w:leader="dot" w:pos="9026"/>
            </w:tabs>
            <w:spacing w:before="120" w:after="60"/>
          </w:pPr>
          <w:hyperlink w:anchor="_Toc100081" w:history="1">
            <w:r>
              <w:rPr>
                <w:rStyle w:val="Hyperlink"/>
              </w:rPr>
              <w:t>7.2 Marketing Approach</w:t>
            </w:r>
            <w:r>
              <w:tab/>
            </w:r>
            <w:r>
              <w:fldChar w:fldCharType="begin"/>
            </w:r>
            <w:r>
              <w:instrText xml:space="preserve"> PAGEREF _Toc100081 \h </w:instrText>
            </w:r>
            <w:r>
              <w:fldChar w:fldCharType="separate"/>
            </w:r>
            <w:r>
              <w:t>26</w:t>
            </w:r>
            <w:r>
              <w:fldChar w:fldCharType="end"/>
            </w:r>
          </w:hyperlink>
        </w:p>
        <w:p>
          <w:pPr>
            <w:pStyle w:val="12"/>
            <w:ind w:left="720"/>
            <w:tabs>
              <w:tab w:val="right" w:leader="dot" w:pos="9026"/>
            </w:tabs>
            <w:spacing w:before="120" w:after="60"/>
          </w:pPr>
          <w:hyperlink w:anchor="_Toc100082" w:history="1">
            <w:r>
              <w:rPr>
                <w:rStyle w:val="Hyperlink"/>
              </w:rPr>
              <w:t>Content Marketing</w:t>
            </w:r>
            <w:r>
              <w:tab/>
            </w:r>
            <w:r>
              <w:fldChar w:fldCharType="begin"/>
            </w:r>
            <w:r>
              <w:instrText xml:space="preserve"> PAGEREF _Toc100082 \h </w:instrText>
            </w:r>
            <w:r>
              <w:fldChar w:fldCharType="separate"/>
            </w:r>
            <w:r>
              <w:t>26</w:t>
            </w:r>
            <w:r>
              <w:fldChar w:fldCharType="end"/>
            </w:r>
          </w:hyperlink>
        </w:p>
        <w:p>
          <w:pPr>
            <w:pStyle w:val="12"/>
            <w:ind w:left="720"/>
            <w:tabs>
              <w:tab w:val="right" w:leader="dot" w:pos="9026"/>
            </w:tabs>
            <w:spacing w:before="120" w:after="60"/>
          </w:pPr>
          <w:hyperlink w:anchor="_Toc100083" w:history="1">
            <w:r>
              <w:rPr>
                <w:rStyle w:val="Hyperlink"/>
              </w:rPr>
              <w:t>Academic Outreach</w:t>
            </w:r>
            <w:r>
              <w:tab/>
            </w:r>
            <w:r>
              <w:fldChar w:fldCharType="begin"/>
            </w:r>
            <w:r>
              <w:instrText xml:space="preserve"> PAGEREF _Toc100083 \h </w:instrText>
            </w:r>
            <w:r>
              <w:fldChar w:fldCharType="separate"/>
            </w:r>
            <w:r>
              <w:t>26</w:t>
            </w:r>
            <w:r>
              <w:fldChar w:fldCharType="end"/>
            </w:r>
          </w:hyperlink>
        </w:p>
        <w:p>
          <w:pPr>
            <w:pStyle w:val="12"/>
            <w:ind w:left="720"/>
            <w:tabs>
              <w:tab w:val="right" w:leader="dot" w:pos="9026"/>
            </w:tabs>
            <w:spacing w:before="120" w:after="60"/>
          </w:pPr>
          <w:hyperlink w:anchor="_Toc100084" w:history="1">
            <w:r>
              <w:rPr>
                <w:rStyle w:val="Hyperlink"/>
              </w:rPr>
              <w:t>Digital Advertising</w:t>
            </w:r>
            <w:r>
              <w:tab/>
            </w:r>
            <w:r>
              <w:fldChar w:fldCharType="begin"/>
            </w:r>
            <w:r>
              <w:instrText xml:space="preserve"> PAGEREF _Toc100084 \h </w:instrText>
            </w:r>
            <w:r>
              <w:fldChar w:fldCharType="separate"/>
            </w:r>
            <w:r>
              <w:t>26</w:t>
            </w:r>
            <w:r>
              <w:fldChar w:fldCharType="end"/>
            </w:r>
          </w:hyperlink>
        </w:p>
        <w:p>
          <w:pPr>
            <w:pStyle w:val="12"/>
            <w:ind w:left="720"/>
            <w:tabs>
              <w:tab w:val="right" w:leader="dot" w:pos="9026"/>
            </w:tabs>
            <w:spacing w:before="120" w:after="60"/>
          </w:pPr>
          <w:hyperlink w:anchor="_Toc100085" w:history="1">
            <w:r>
              <w:rPr>
                <w:rStyle w:val="Hyperlink"/>
              </w:rPr>
              <w:t>Community Building</w:t>
            </w:r>
            <w:r>
              <w:tab/>
            </w:r>
            <w:r>
              <w:fldChar w:fldCharType="begin"/>
            </w:r>
            <w:r>
              <w:instrText xml:space="preserve"> PAGEREF _Toc100085 \h </w:instrText>
            </w:r>
            <w:r>
              <w:fldChar w:fldCharType="separate"/>
            </w:r>
            <w:r>
              <w:t>27</w:t>
            </w:r>
            <w:r>
              <w:fldChar w:fldCharType="end"/>
            </w:r>
          </w:hyperlink>
        </w:p>
        <w:p>
          <w:pPr>
            <w:pStyle w:val="11"/>
            <w:ind w:left="360"/>
            <w:tabs>
              <w:tab w:val="right" w:leader="dot" w:pos="9026"/>
            </w:tabs>
            <w:spacing w:before="120" w:after="60"/>
          </w:pPr>
          <w:hyperlink w:anchor="_Toc100086" w:history="1">
            <w:r>
              <w:rPr>
                <w:rStyle w:val="Hyperlink"/>
              </w:rPr>
              <w:t>7.3 Partnership Strategy</w:t>
            </w:r>
            <w:r>
              <w:tab/>
            </w:r>
            <w:r>
              <w:fldChar w:fldCharType="begin"/>
            </w:r>
            <w:r>
              <w:instrText xml:space="preserve"> PAGEREF _Toc100086 \h </w:instrText>
            </w:r>
            <w:r>
              <w:fldChar w:fldCharType="separate"/>
            </w:r>
            <w:r>
              <w:t>27</w:t>
            </w:r>
            <w:r>
              <w:fldChar w:fldCharType="end"/>
            </w:r>
          </w:hyperlink>
        </w:p>
        <w:p>
          <w:pPr>
            <w:pStyle w:val="12"/>
            <w:ind w:left="720"/>
            <w:tabs>
              <w:tab w:val="right" w:leader="dot" w:pos="9026"/>
            </w:tabs>
            <w:spacing w:before="120" w:after="60"/>
          </w:pPr>
          <w:hyperlink w:anchor="_Toc100087" w:history="1">
            <w:r>
              <w:rPr>
                <w:rStyle w:val="Hyperlink"/>
              </w:rPr>
              <w:t>Technology Partnerships</w:t>
            </w:r>
            <w:r>
              <w:tab/>
            </w:r>
            <w:r>
              <w:fldChar w:fldCharType="begin"/>
            </w:r>
            <w:r>
              <w:instrText xml:space="preserve"> PAGEREF _Toc100087 \h </w:instrText>
            </w:r>
            <w:r>
              <w:fldChar w:fldCharType="separate"/>
            </w:r>
            <w:r>
              <w:t>27</w:t>
            </w:r>
            <w:r>
              <w:fldChar w:fldCharType="end"/>
            </w:r>
          </w:hyperlink>
        </w:p>
        <w:p>
          <w:pPr>
            <w:pStyle w:val="12"/>
            <w:ind w:left="720"/>
            <w:tabs>
              <w:tab w:val="right" w:leader="dot" w:pos="9026"/>
            </w:tabs>
            <w:spacing w:before="120" w:after="60"/>
          </w:pPr>
          <w:hyperlink w:anchor="_Toc100088" w:history="1">
            <w:r>
              <w:rPr>
                <w:rStyle w:val="Hyperlink"/>
              </w:rPr>
              <w:t>Academic Partnerships</w:t>
            </w:r>
            <w:r>
              <w:tab/>
            </w:r>
            <w:r>
              <w:fldChar w:fldCharType="begin"/>
            </w:r>
            <w:r>
              <w:instrText xml:space="preserve"> PAGEREF _Toc100088 \h </w:instrText>
            </w:r>
            <w:r>
              <w:fldChar w:fldCharType="separate"/>
            </w:r>
            <w:r>
              <w:t>27</w:t>
            </w:r>
            <w:r>
              <w:fldChar w:fldCharType="end"/>
            </w:r>
          </w:hyperlink>
        </w:p>
        <w:p>
          <w:pPr>
            <w:pStyle w:val="12"/>
            <w:ind w:left="720"/>
            <w:tabs>
              <w:tab w:val="right" w:leader="dot" w:pos="9026"/>
            </w:tabs>
            <w:spacing w:before="120" w:after="60"/>
          </w:pPr>
          <w:hyperlink w:anchor="_Toc100089" w:history="1">
            <w:r>
              <w:rPr>
                <w:rStyle w:val="Hyperlink"/>
              </w:rPr>
              <w:t>Cloud Partnerships</w:t>
            </w:r>
            <w:r>
              <w:tab/>
            </w:r>
            <w:r>
              <w:fldChar w:fldCharType="begin"/>
            </w:r>
            <w:r>
              <w:instrText xml:space="preserve"> PAGEREF _Toc100089 \h </w:instrText>
            </w:r>
            <w:r>
              <w:fldChar w:fldCharType="separate"/>
            </w:r>
            <w:r>
              <w:t>27</w:t>
            </w:r>
            <w:r>
              <w:fldChar w:fldCharType="end"/>
            </w:r>
          </w:hyperlink>
        </w:p>
        <w:p>
          <w:pPr>
            <w:pStyle w:val="11"/>
            <w:ind w:left="360"/>
            <w:tabs>
              <w:tab w:val="right" w:leader="dot" w:pos="9026"/>
            </w:tabs>
            <w:spacing w:before="120" w:after="60"/>
          </w:pPr>
          <w:hyperlink w:anchor="_Toc100090" w:history="1">
            <w:r>
              <w:rPr>
                <w:rStyle w:val="Hyperlink"/>
              </w:rPr>
              <w:t>7.4 Customer Acquisition Plan</w:t>
            </w:r>
            <w:r>
              <w:tab/>
            </w:r>
            <w:r>
              <w:fldChar w:fldCharType="begin"/>
            </w:r>
            <w:r>
              <w:instrText xml:space="preserve"> PAGEREF _Toc100090 \h </w:instrText>
            </w:r>
            <w:r>
              <w:fldChar w:fldCharType="separate"/>
            </w:r>
            <w:r>
              <w:t>28</w:t>
            </w:r>
            <w:r>
              <w:fldChar w:fldCharType="end"/>
            </w:r>
          </w:hyperlink>
        </w:p>
        <w:p>
          <w:pPr>
            <w:pStyle w:val="11"/>
            <w:ind w:left="360"/>
            <w:tabs>
              <w:tab w:val="right" w:leader="dot" w:pos="9026"/>
            </w:tabs>
            <w:spacing w:before="120" w:after="60"/>
          </w:pPr>
          <w:hyperlink w:anchor="_Toc100091" w:history="1">
            <w:r>
              <w:rPr>
                <w:rStyle w:val="Hyperlink"/>
              </w:rPr>
              <w:t>7.5 Phased Launch Roadmap</w:t>
            </w:r>
            <w:r>
              <w:tab/>
            </w:r>
            <w:r>
              <w:fldChar w:fldCharType="begin"/>
            </w:r>
            <w:r>
              <w:instrText xml:space="preserve"> PAGEREF _Toc100091 \h </w:instrText>
            </w:r>
            <w:r>
              <w:fldChar w:fldCharType="separate"/>
            </w:r>
            <w:r>
              <w:t>28</w:t>
            </w:r>
            <w:r>
              <w:fldChar w:fldCharType="end"/>
            </w:r>
          </w:hyperlink>
        </w:p>
        <w:p>
          <w:pPr>
            <w:pStyle w:val="12"/>
            <w:ind w:left="720"/>
            <w:tabs>
              <w:tab w:val="right" w:leader="dot" w:pos="9026"/>
            </w:tabs>
            <w:spacing w:before="120" w:after="60"/>
          </w:pPr>
          <w:hyperlink w:anchor="_Toc100092" w:history="1">
            <w:r>
              <w:rPr>
                <w:rStyle w:val="Hyperlink"/>
              </w:rPr>
              <w:t>Phase 1: Foundation (Months 1-6)</w:t>
            </w:r>
            <w:r>
              <w:tab/>
            </w:r>
            <w:r>
              <w:fldChar w:fldCharType="begin"/>
            </w:r>
            <w:r>
              <w:instrText xml:space="preserve"> PAGEREF _Toc100092 \h </w:instrText>
            </w:r>
            <w:r>
              <w:fldChar w:fldCharType="separate"/>
            </w:r>
            <w:r>
              <w:t>28</w:t>
            </w:r>
            <w:r>
              <w:fldChar w:fldCharType="end"/>
            </w:r>
          </w:hyperlink>
        </w:p>
        <w:p>
          <w:pPr>
            <w:pStyle w:val="12"/>
            <w:ind w:left="720"/>
            <w:tabs>
              <w:tab w:val="right" w:leader="dot" w:pos="9026"/>
            </w:tabs>
            <w:spacing w:before="120" w:after="60"/>
          </w:pPr>
          <w:hyperlink w:anchor="_Toc100093" w:history="1">
            <w:r>
              <w:rPr>
                <w:rStyle w:val="Hyperlink"/>
              </w:rPr>
              <w:t>Phase 2: Launch (Months 7-12)</w:t>
            </w:r>
            <w:r>
              <w:tab/>
            </w:r>
            <w:r>
              <w:fldChar w:fldCharType="begin"/>
            </w:r>
            <w:r>
              <w:instrText xml:space="preserve"> PAGEREF _Toc100093 \h </w:instrText>
            </w:r>
            <w:r>
              <w:fldChar w:fldCharType="separate"/>
            </w:r>
            <w:r>
              <w:t>28</w:t>
            </w:r>
            <w:r>
              <w:fldChar w:fldCharType="end"/>
            </w:r>
          </w:hyperlink>
        </w:p>
        <w:p>
          <w:pPr>
            <w:pStyle w:val="12"/>
            <w:ind w:left="720"/>
            <w:tabs>
              <w:tab w:val="right" w:leader="dot" w:pos="9026"/>
            </w:tabs>
            <w:spacing w:before="120" w:after="60"/>
          </w:pPr>
          <w:hyperlink w:anchor="_Toc100094" w:history="1">
            <w:r>
              <w:rPr>
                <w:rStyle w:val="Hyperlink"/>
              </w:rPr>
              <w:t>Phase 3: Scale (Year 2)</w:t>
            </w:r>
            <w:r>
              <w:tab/>
            </w:r>
            <w:r>
              <w:fldChar w:fldCharType="begin"/>
            </w:r>
            <w:r>
              <w:instrText xml:space="preserve"> PAGEREF _Toc100094 \h </w:instrText>
            </w:r>
            <w:r>
              <w:fldChar w:fldCharType="separate"/>
            </w:r>
            <w:r>
              <w:t>29</w:t>
            </w:r>
            <w:r>
              <w:fldChar w:fldCharType="end"/>
            </w:r>
          </w:hyperlink>
        </w:p>
        <w:p>
          <w:pPr>
            <w:pStyle w:val="12"/>
            <w:ind w:left="720"/>
            <w:tabs>
              <w:tab w:val="right" w:leader="dot" w:pos="9026"/>
            </w:tabs>
            <w:spacing w:before="120" w:after="60"/>
          </w:pPr>
          <w:hyperlink w:anchor="_Toc100095" w:history="1">
            <w:r>
              <w:rPr>
                <w:rStyle w:val="Hyperlink"/>
              </w:rPr>
              <w:t>Phase 4: Growth (Years 3-5)</w:t>
            </w:r>
            <w:r>
              <w:tab/>
            </w:r>
            <w:r>
              <w:fldChar w:fldCharType="begin"/>
            </w:r>
            <w:r>
              <w:instrText xml:space="preserve"> PAGEREF _Toc100095 \h </w:instrText>
            </w:r>
            <w:r>
              <w:fldChar w:fldCharType="separate"/>
            </w:r>
            <w:r>
              <w:t>29</w:t>
            </w:r>
            <w:r>
              <w:fldChar w:fldCharType="end"/>
            </w:r>
          </w:hyperlink>
        </w:p>
        <w:p>
          <w:pPr>
            <w:pStyle w:val="9"/>
            <w:tabs>
              <w:tab w:val="right" w:leader="dot" w:pos="9026"/>
            </w:tabs>
            <w:spacing w:before="120" w:after="60"/>
          </w:pPr>
          <w:hyperlink w:anchor="_Toc100096" w:history="1">
            <w:r>
              <w:rPr>
                <w:rStyle w:val="Hyperlink"/>
              </w:rPr>
              <w:t>8. Competitive Landscape</w:t>
            </w:r>
            <w:r>
              <w:tab/>
            </w:r>
            <w:r>
              <w:fldChar w:fldCharType="begin"/>
            </w:r>
            <w:r>
              <w:instrText xml:space="preserve"> PAGEREF _Toc100096 \h </w:instrText>
            </w:r>
            <w:r>
              <w:fldChar w:fldCharType="separate"/>
            </w:r>
            <w:r>
              <w:t>29</w:t>
            </w:r>
            <w:r>
              <w:fldChar w:fldCharType="end"/>
            </w:r>
          </w:hyperlink>
        </w:p>
        <w:p>
          <w:pPr>
            <w:pStyle w:val="11"/>
            <w:ind w:left="360"/>
            <w:tabs>
              <w:tab w:val="right" w:leader="dot" w:pos="9026"/>
            </w:tabs>
            <w:spacing w:before="120" w:after="60"/>
          </w:pPr>
          <w:hyperlink w:anchor="_Toc100097" w:history="1">
            <w:r>
              <w:rPr>
                <w:rStyle w:val="Hyperlink"/>
              </w:rPr>
              <w:t>8.1 Direct Competitors Analysis</w:t>
            </w:r>
            <w:r>
              <w:tab/>
            </w:r>
            <w:r>
              <w:fldChar w:fldCharType="begin"/>
            </w:r>
            <w:r>
              <w:instrText xml:space="preserve"> PAGEREF _Toc100097 \h </w:instrText>
            </w:r>
            <w:r>
              <w:fldChar w:fldCharType="separate"/>
            </w:r>
            <w:r>
              <w:t>29</w:t>
            </w:r>
            <w:r>
              <w:fldChar w:fldCharType="end"/>
            </w:r>
          </w:hyperlink>
        </w:p>
        <w:p>
          <w:pPr>
            <w:pStyle w:val="11"/>
            <w:ind w:left="360"/>
            <w:tabs>
              <w:tab w:val="right" w:leader="dot" w:pos="9026"/>
            </w:tabs>
            <w:spacing w:before="120" w:after="60"/>
          </w:pPr>
          <w:hyperlink w:anchor="_Toc100098" w:history="1">
            <w:r>
              <w:rPr>
                <w:rStyle w:val="Hyperlink"/>
              </w:rPr>
              <w:t>8.2 Indirect Competitors</w:t>
            </w:r>
            <w:r>
              <w:tab/>
            </w:r>
            <w:r>
              <w:fldChar w:fldCharType="begin"/>
            </w:r>
            <w:r>
              <w:instrText xml:space="preserve"> PAGEREF _Toc100098 \h </w:instrText>
            </w:r>
            <w:r>
              <w:fldChar w:fldCharType="separate"/>
            </w:r>
            <w:r>
              <w:t>29</w:t>
            </w:r>
            <w:r>
              <w:fldChar w:fldCharType="end"/>
            </w:r>
          </w:hyperlink>
        </w:p>
        <w:p>
          <w:pPr>
            <w:pStyle w:val="11"/>
            <w:ind w:left="360"/>
            <w:tabs>
              <w:tab w:val="right" w:leader="dot" w:pos="9026"/>
            </w:tabs>
            <w:spacing w:before="120" w:after="60"/>
          </w:pPr>
          <w:hyperlink w:anchor="_Toc100099" w:history="1">
            <w:r>
              <w:rPr>
                <w:rStyle w:val="Hyperlink"/>
              </w:rPr>
              <w:t>8.3 Competitive Positioning Matrix</w:t>
            </w:r>
            <w:r>
              <w:tab/>
            </w:r>
            <w:r>
              <w:fldChar w:fldCharType="begin"/>
            </w:r>
            <w:r>
              <w:instrText xml:space="preserve"> PAGEREF _Toc100099 \h </w:instrText>
            </w:r>
            <w:r>
              <w:fldChar w:fldCharType="separate"/>
            </w:r>
            <w:r>
              <w:t>30</w:t>
            </w:r>
            <w:r>
              <w:fldChar w:fldCharType="end"/>
            </w:r>
          </w:hyperlink>
        </w:p>
        <w:p>
          <w:pPr>
            <w:pStyle w:val="11"/>
            <w:ind w:left="360"/>
            <w:tabs>
              <w:tab w:val="right" w:leader="dot" w:pos="9026"/>
            </w:tabs>
            <w:spacing w:before="120" w:after="60"/>
          </w:pPr>
          <w:hyperlink w:anchor="_Toc100100" w:history="1">
            <w:r>
              <w:rPr>
                <w:rStyle w:val="Hyperlink"/>
              </w:rPr>
              <w:t>8.4 Competitive Moat / Barriers to Entry</w:t>
            </w:r>
            <w:r>
              <w:tab/>
            </w:r>
            <w:r>
              <w:fldChar w:fldCharType="begin"/>
            </w:r>
            <w:r>
              <w:instrText xml:space="preserve"> PAGEREF _Toc100100 \h </w:instrText>
            </w:r>
            <w:r>
              <w:fldChar w:fldCharType="separate"/>
            </w:r>
            <w:r>
              <w:t>30</w:t>
            </w:r>
            <w:r>
              <w:fldChar w:fldCharType="end"/>
            </w:r>
          </w:hyperlink>
        </w:p>
        <w:p>
          <w:pPr>
            <w:pStyle w:val="12"/>
            <w:ind w:left="720"/>
            <w:tabs>
              <w:tab w:val="right" w:leader="dot" w:pos="9026"/>
            </w:tabs>
            <w:spacing w:before="120" w:after="60"/>
          </w:pPr>
          <w:hyperlink w:anchor="_Toc100101" w:history="1">
            <w:r>
              <w:rPr>
                <w:rStyle w:val="Hyperlink"/>
              </w:rPr>
              <w:t>Network Effects</w:t>
            </w:r>
            <w:r>
              <w:tab/>
            </w:r>
            <w:r>
              <w:fldChar w:fldCharType="begin"/>
            </w:r>
            <w:r>
              <w:instrText xml:space="preserve"> PAGEREF _Toc100101 \h </w:instrText>
            </w:r>
            <w:r>
              <w:fldChar w:fldCharType="separate"/>
            </w:r>
            <w:r>
              <w:t>30</w:t>
            </w:r>
            <w:r>
              <w:fldChar w:fldCharType="end"/>
            </w:r>
          </w:hyperlink>
        </w:p>
        <w:p>
          <w:pPr>
            <w:pStyle w:val="12"/>
            <w:ind w:left="720"/>
            <w:tabs>
              <w:tab w:val="right" w:leader="dot" w:pos="9026"/>
            </w:tabs>
            <w:spacing w:before="120" w:after="60"/>
          </w:pPr>
          <w:hyperlink w:anchor="_Toc100102" w:history="1">
            <w:r>
              <w:rPr>
                <w:rStyle w:val="Hyperlink"/>
              </w:rPr>
              <w:t>Switching Costs</w:t>
            </w:r>
            <w:r>
              <w:tab/>
            </w:r>
            <w:r>
              <w:fldChar w:fldCharType="begin"/>
            </w:r>
            <w:r>
              <w:instrText xml:space="preserve"> PAGEREF _Toc100102 \h </w:instrText>
            </w:r>
            <w:r>
              <w:fldChar w:fldCharType="separate"/>
            </w:r>
            <w:r>
              <w:t>30</w:t>
            </w:r>
            <w:r>
              <w:fldChar w:fldCharType="end"/>
            </w:r>
          </w:hyperlink>
        </w:p>
        <w:p>
          <w:pPr>
            <w:pStyle w:val="12"/>
            <w:ind w:left="720"/>
            <w:tabs>
              <w:tab w:val="right" w:leader="dot" w:pos="9026"/>
            </w:tabs>
            <w:spacing w:before="120" w:after="60"/>
          </w:pPr>
          <w:hyperlink w:anchor="_Toc100103" w:history="1">
            <w:r>
              <w:rPr>
                <w:rStyle w:val="Hyperlink"/>
              </w:rPr>
              <w:t>Data Network Effects</w:t>
            </w:r>
            <w:r>
              <w:tab/>
            </w:r>
            <w:r>
              <w:fldChar w:fldCharType="begin"/>
            </w:r>
            <w:r>
              <w:instrText xml:space="preserve"> PAGEREF _Toc100103 \h </w:instrText>
            </w:r>
            <w:r>
              <w:fldChar w:fldCharType="separate"/>
            </w:r>
            <w:r>
              <w:t>31</w:t>
            </w:r>
            <w:r>
              <w:fldChar w:fldCharType="end"/>
            </w:r>
          </w:hyperlink>
        </w:p>
        <w:p>
          <w:pPr>
            <w:pStyle w:val="12"/>
            <w:ind w:left="720"/>
            <w:tabs>
              <w:tab w:val="right" w:leader="dot" w:pos="9026"/>
            </w:tabs>
            <w:spacing w:before="120" w:after="60"/>
          </w:pPr>
          <w:hyperlink w:anchor="_Toc100104" w:history="1">
            <w:r>
              <w:rPr>
                <w:rStyle w:val="Hyperlink"/>
              </w:rPr>
              <w:t>Brand &amp; Trust</w:t>
            </w:r>
            <w:r>
              <w:tab/>
            </w:r>
            <w:r>
              <w:fldChar w:fldCharType="begin"/>
            </w:r>
            <w:r>
              <w:instrText xml:space="preserve"> PAGEREF _Toc100104 \h </w:instrText>
            </w:r>
            <w:r>
              <w:fldChar w:fldCharType="separate"/>
            </w:r>
            <w:r>
              <w:t>31</w:t>
            </w:r>
            <w:r>
              <w:fldChar w:fldCharType="end"/>
            </w:r>
          </w:hyperlink>
        </w:p>
        <w:p>
          <w:pPr>
            <w:pStyle w:val="12"/>
            <w:ind w:left="720"/>
            <w:tabs>
              <w:tab w:val="right" w:leader="dot" w:pos="9026"/>
            </w:tabs>
            <w:spacing w:before="120" w:after="60"/>
          </w:pPr>
          <w:hyperlink w:anchor="_Toc100105" w:history="1">
            <w:r>
              <w:rPr>
                <w:rStyle w:val="Hyperlink"/>
              </w:rPr>
              <w:t>Ecosystem Lock-In</w:t>
            </w:r>
            <w:r>
              <w:tab/>
            </w:r>
            <w:r>
              <w:fldChar w:fldCharType="begin"/>
            </w:r>
            <w:r>
              <w:instrText xml:space="preserve"> PAGEREF _Toc100105 \h </w:instrText>
            </w:r>
            <w:r>
              <w:fldChar w:fldCharType="separate"/>
            </w:r>
            <w:r>
              <w:t>31</w:t>
            </w:r>
            <w:r>
              <w:fldChar w:fldCharType="end"/>
            </w:r>
          </w:hyperlink>
        </w:p>
        <w:p>
          <w:pPr>
            <w:pStyle w:val="9"/>
            <w:tabs>
              <w:tab w:val="right" w:leader="dot" w:pos="9026"/>
            </w:tabs>
            <w:spacing w:before="120" w:after="60"/>
          </w:pPr>
          <w:hyperlink w:anchor="_Toc100106" w:history="1">
            <w:r>
              <w:rPr>
                <w:rStyle w:val="Hyperlink"/>
              </w:rPr>
              <w:t>9. The Team</w:t>
            </w:r>
            <w:r>
              <w:tab/>
            </w:r>
            <w:r>
              <w:fldChar w:fldCharType="begin"/>
            </w:r>
            <w:r>
              <w:instrText xml:space="preserve"> PAGEREF _Toc100106 \h </w:instrText>
            </w:r>
            <w:r>
              <w:fldChar w:fldCharType="separate"/>
            </w:r>
            <w:r>
              <w:t>31</w:t>
            </w:r>
            <w:r>
              <w:fldChar w:fldCharType="end"/>
            </w:r>
          </w:hyperlink>
        </w:p>
        <w:p>
          <w:pPr>
            <w:pStyle w:val="11"/>
            <w:ind w:left="360"/>
            <w:tabs>
              <w:tab w:val="right" w:leader="dot" w:pos="9026"/>
            </w:tabs>
            <w:spacing w:before="120" w:after="60"/>
          </w:pPr>
          <w:hyperlink w:anchor="_Toc100107" w:history="1">
            <w:r>
              <w:rPr>
                <w:rStyle w:val="Hyperlink"/>
              </w:rPr>
              <w:t>9.1 Founding Team - TestDemo Credentials</w:t>
            </w:r>
            <w:r>
              <w:tab/>
            </w:r>
            <w:r>
              <w:fldChar w:fldCharType="begin"/>
            </w:r>
            <w:r>
              <w:instrText xml:space="preserve"> PAGEREF _Toc100107 \h </w:instrText>
            </w:r>
            <w:r>
              <w:fldChar w:fldCharType="separate"/>
            </w:r>
            <w:r>
              <w:t>32</w:t>
            </w:r>
            <w:r>
              <w:fldChar w:fldCharType="end"/>
            </w:r>
          </w:hyperlink>
        </w:p>
        <w:p>
          <w:pPr>
            <w:pStyle w:val="12"/>
            <w:ind w:left="720"/>
            <w:tabs>
              <w:tab w:val="right" w:leader="dot" w:pos="9026"/>
            </w:tabs>
            <w:spacing w:before="120" w:after="60"/>
          </w:pPr>
          <w:hyperlink w:anchor="_Toc100108" w:history="1">
            <w:r>
              <w:rPr>
                <w:rStyle w:val="Hyperlink"/>
              </w:rPr>
              <w:t>Scientific Background</w:t>
            </w:r>
            <w:r>
              <w:tab/>
            </w:r>
            <w:r>
              <w:fldChar w:fldCharType="begin"/>
            </w:r>
            <w:r>
              <w:instrText xml:space="preserve"> PAGEREF _Toc100108 \h </w:instrText>
            </w:r>
            <w:r>
              <w:fldChar w:fldCharType="separate"/>
            </w:r>
            <w:r>
              <w:t>32</w:t>
            </w:r>
            <w:r>
              <w:fldChar w:fldCharType="end"/>
            </w:r>
          </w:hyperlink>
        </w:p>
        <w:p>
          <w:pPr>
            <w:pStyle w:val="12"/>
            <w:ind w:left="720"/>
            <w:tabs>
              <w:tab w:val="right" w:leader="dot" w:pos="9026"/>
            </w:tabs>
            <w:spacing w:before="120" w:after="60"/>
          </w:pPr>
          <w:hyperlink w:anchor="_Toc100109" w:history="1">
            <w:r>
              <w:rPr>
                <w:rStyle w:val="Hyperlink"/>
              </w:rPr>
              <w:t>Software Engineering Capabilities</w:t>
            </w:r>
            <w:r>
              <w:tab/>
            </w:r>
            <w:r>
              <w:fldChar w:fldCharType="begin"/>
            </w:r>
            <w:r>
              <w:instrText xml:space="preserve"> PAGEREF _Toc100109 \h </w:instrText>
            </w:r>
            <w:r>
              <w:fldChar w:fldCharType="separate"/>
            </w:r>
            <w:r>
              <w:t>33</w:t>
            </w:r>
            <w:r>
              <w:fldChar w:fldCharType="end"/>
            </w:r>
          </w:hyperlink>
        </w:p>
        <w:p>
          <w:pPr>
            <w:pStyle w:val="12"/>
            <w:ind w:left="720"/>
            <w:tabs>
              <w:tab w:val="right" w:leader="dot" w:pos="9026"/>
            </w:tabs>
            <w:spacing w:before="120" w:after="60"/>
          </w:pPr>
          <w:hyperlink w:anchor="_Toc100110" w:history="1">
            <w:r>
              <w:rPr>
                <w:rStyle w:val="Hyperlink"/>
              </w:rPr>
              <w:t>Unique Value Proposition</w:t>
            </w:r>
            <w:r>
              <w:tab/>
            </w:r>
            <w:r>
              <w:fldChar w:fldCharType="begin"/>
            </w:r>
            <w:r>
              <w:instrText xml:space="preserve"> PAGEREF _Toc100110 \h </w:instrText>
            </w:r>
            <w:r>
              <w:fldChar w:fldCharType="separate"/>
            </w:r>
            <w:r>
              <w:t>34</w:t>
            </w:r>
            <w:r>
              <w:fldChar w:fldCharType="end"/>
            </w:r>
          </w:hyperlink>
        </w:p>
        <w:p>
          <w:pPr>
            <w:pStyle w:val="11"/>
            <w:ind w:left="360"/>
            <w:tabs>
              <w:tab w:val="right" w:leader="dot" w:pos="9026"/>
            </w:tabs>
            <w:spacing w:before="120" w:after="60"/>
          </w:pPr>
          <w:hyperlink w:anchor="_Toc100111" w:history="1">
            <w:r>
              <w:rPr>
                <w:rStyle w:val="Hyperlink"/>
              </w:rPr>
              <w:t>9.2 Advisory Board Targets</w:t>
            </w:r>
            <w:r>
              <w:tab/>
            </w:r>
            <w:r>
              <w:fldChar w:fldCharType="begin"/>
            </w:r>
            <w:r>
              <w:instrText xml:space="preserve"> PAGEREF _Toc100111 \h </w:instrText>
            </w:r>
            <w:r>
              <w:fldChar w:fldCharType="separate"/>
            </w:r>
            <w:r>
              <w:t>34</w:t>
            </w:r>
            <w:r>
              <w:fldChar w:fldCharType="end"/>
            </w:r>
          </w:hyperlink>
        </w:p>
        <w:p>
          <w:pPr>
            <w:pStyle w:val="11"/>
            <w:ind w:left="360"/>
            <w:tabs>
              <w:tab w:val="right" w:leader="dot" w:pos="9026"/>
            </w:tabs>
            <w:spacing w:before="120" w:after="60"/>
          </w:pPr>
          <w:hyperlink w:anchor="_Toc100112" w:history="1">
            <w:r>
              <w:rPr>
                <w:rStyle w:val="Hyperlink"/>
              </w:rPr>
              <w:t>9.3 Hiring Plan</w:t>
            </w:r>
            <w:r>
              <w:tab/>
            </w:r>
            <w:r>
              <w:fldChar w:fldCharType="begin"/>
            </w:r>
            <w:r>
              <w:instrText xml:space="preserve"> PAGEREF _Toc100112 \h </w:instrText>
            </w:r>
            <w:r>
              <w:fldChar w:fldCharType="separate"/>
            </w:r>
            <w:r>
              <w:t>35</w:t>
            </w:r>
            <w:r>
              <w:fldChar w:fldCharType="end"/>
            </w:r>
          </w:hyperlink>
        </w:p>
        <w:p>
          <w:pPr>
            <w:pStyle w:val="11"/>
            <w:ind w:left="360"/>
            <w:tabs>
              <w:tab w:val="right" w:leader="dot" w:pos="9026"/>
            </w:tabs>
            <w:spacing w:before="120" w:after="60"/>
          </w:pPr>
          <w:hyperlink w:anchor="_Toc100113" w:history="1">
            <w:r>
              <w:rPr>
                <w:rStyle w:val="Hyperlink"/>
              </w:rPr>
              <w:t>9.4 Organizational Structure</w:t>
            </w:r>
            <w:r>
              <w:tab/>
            </w:r>
            <w:r>
              <w:fldChar w:fldCharType="begin"/>
            </w:r>
            <w:r>
              <w:instrText xml:space="preserve"> PAGEREF _Toc100113 \h </w:instrText>
            </w:r>
            <w:r>
              <w:fldChar w:fldCharType="separate"/>
            </w:r>
            <w:r>
              <w:t>35</w:t>
            </w:r>
            <w:r>
              <w:fldChar w:fldCharType="end"/>
            </w:r>
          </w:hyperlink>
        </w:p>
        <w:p>
          <w:pPr>
            <w:pStyle w:val="9"/>
            <w:tabs>
              <w:tab w:val="right" w:leader="dot" w:pos="9026"/>
            </w:tabs>
            <w:spacing w:before="120" w:after="60"/>
          </w:pPr>
          <w:hyperlink w:anchor="_Toc100114" w:history="1">
            <w:r>
              <w:rPr>
                <w:rStyle w:val="Hyperlink"/>
              </w:rPr>
              <w:t>10. Financial Projections</w:t>
            </w:r>
            <w:r>
              <w:tab/>
            </w:r>
            <w:r>
              <w:fldChar w:fldCharType="begin"/>
            </w:r>
            <w:r>
              <w:instrText xml:space="preserve"> PAGEREF _Toc100114 \h </w:instrText>
            </w:r>
            <w:r>
              <w:fldChar w:fldCharType="separate"/>
            </w:r>
            <w:r>
              <w:t>35</w:t>
            </w:r>
            <w:r>
              <w:fldChar w:fldCharType="end"/>
            </w:r>
          </w:hyperlink>
        </w:p>
        <w:p>
          <w:pPr>
            <w:pStyle w:val="11"/>
            <w:ind w:left="360"/>
            <w:tabs>
              <w:tab w:val="right" w:leader="dot" w:pos="9026"/>
            </w:tabs>
            <w:spacing w:before="120" w:after="60"/>
          </w:pPr>
          <w:hyperlink w:anchor="_Toc100115" w:history="1">
            <w:r>
              <w:rPr>
                <w:rStyle w:val="Hyperlink"/>
              </w:rPr>
              <w:t>10.1 Five-Year P&amp;L Summary</w:t>
            </w:r>
            <w:r>
              <w:tab/>
            </w:r>
            <w:r>
              <w:fldChar w:fldCharType="begin"/>
            </w:r>
            <w:r>
              <w:instrText xml:space="preserve"> PAGEREF _Toc100115 \h </w:instrText>
            </w:r>
            <w:r>
              <w:fldChar w:fldCharType="separate"/>
            </w:r>
            <w:r>
              <w:t>35</w:t>
            </w:r>
            <w:r>
              <w:fldChar w:fldCharType="end"/>
            </w:r>
          </w:hyperlink>
        </w:p>
        <w:p>
          <w:pPr>
            <w:pStyle w:val="11"/>
            <w:ind w:left="360"/>
            <w:tabs>
              <w:tab w:val="right" w:leader="dot" w:pos="9026"/>
            </w:tabs>
            <w:spacing w:before="120" w:after="60"/>
          </w:pPr>
          <w:hyperlink w:anchor="_Toc100116" w:history="1">
            <w:r>
              <w:rPr>
                <w:rStyle w:val="Hyperlink"/>
              </w:rPr>
              <w:t>10.2 Key Assumptions</w:t>
            </w:r>
            <w:r>
              <w:tab/>
            </w:r>
            <w:r>
              <w:fldChar w:fldCharType="begin"/>
            </w:r>
            <w:r>
              <w:instrText xml:space="preserve"> PAGEREF _Toc100116 \h </w:instrText>
            </w:r>
            <w:r>
              <w:fldChar w:fldCharType="separate"/>
            </w:r>
            <w:r>
              <w:t>36</w:t>
            </w:r>
            <w:r>
              <w:fldChar w:fldCharType="end"/>
            </w:r>
          </w:hyperlink>
        </w:p>
        <w:p>
          <w:pPr>
            <w:pStyle w:val="12"/>
            <w:ind w:left="720"/>
            <w:tabs>
              <w:tab w:val="right" w:leader="dot" w:pos="9026"/>
            </w:tabs>
            <w:spacing w:before="120" w:after="60"/>
          </w:pPr>
          <w:hyperlink w:anchor="_Toc100117" w:history="1">
            <w:r>
              <w:rPr>
                <w:rStyle w:val="Hyperlink"/>
              </w:rPr>
              <w:t>Revenue Assumptions</w:t>
            </w:r>
            <w:r>
              <w:tab/>
            </w:r>
            <w:r>
              <w:fldChar w:fldCharType="begin"/>
            </w:r>
            <w:r>
              <w:instrText xml:space="preserve"> PAGEREF _Toc100117 \h </w:instrText>
            </w:r>
            <w:r>
              <w:fldChar w:fldCharType="separate"/>
            </w:r>
            <w:r>
              <w:t>36</w:t>
            </w:r>
            <w:r>
              <w:fldChar w:fldCharType="end"/>
            </w:r>
          </w:hyperlink>
        </w:p>
        <w:p>
          <w:pPr>
            <w:pStyle w:val="12"/>
            <w:ind w:left="720"/>
            <w:tabs>
              <w:tab w:val="right" w:leader="dot" w:pos="9026"/>
            </w:tabs>
            <w:spacing w:before="120" w:after="60"/>
          </w:pPr>
          <w:hyperlink w:anchor="_Toc100118" w:history="1">
            <w:r>
              <w:rPr>
                <w:rStyle w:val="Hyperlink"/>
              </w:rPr>
              <w:t>Cost Assumptions</w:t>
            </w:r>
            <w:r>
              <w:tab/>
            </w:r>
            <w:r>
              <w:fldChar w:fldCharType="begin"/>
            </w:r>
            <w:r>
              <w:instrText xml:space="preserve"> PAGEREF _Toc100118 \h </w:instrText>
            </w:r>
            <w:r>
              <w:fldChar w:fldCharType="separate"/>
            </w:r>
            <w:r>
              <w:t>36</w:t>
            </w:r>
            <w:r>
              <w:fldChar w:fldCharType="end"/>
            </w:r>
          </w:hyperlink>
        </w:p>
        <w:p>
          <w:pPr>
            <w:pStyle w:val="11"/>
            <w:ind w:left="360"/>
            <w:tabs>
              <w:tab w:val="right" w:leader="dot" w:pos="9026"/>
            </w:tabs>
            <w:spacing w:before="120" w:after="60"/>
          </w:pPr>
          <w:hyperlink w:anchor="_Toc100119" w:history="1">
            <w:r>
              <w:rPr>
                <w:rStyle w:val="Hyperlink"/>
              </w:rPr>
              <w:t>10.3 Funding Requirements</w:t>
            </w:r>
            <w:r>
              <w:tab/>
            </w:r>
            <w:r>
              <w:fldChar w:fldCharType="begin"/>
            </w:r>
            <w:r>
              <w:instrText xml:space="preserve"> PAGEREF _Toc100119 \h </w:instrText>
            </w:r>
            <w:r>
              <w:fldChar w:fldCharType="separate"/>
            </w:r>
            <w:r>
              <w:t>37</w:t>
            </w:r>
            <w:r>
              <w:fldChar w:fldCharType="end"/>
            </w:r>
          </w:hyperlink>
        </w:p>
        <w:p>
          <w:pPr>
            <w:pStyle w:val="12"/>
            <w:ind w:left="720"/>
            <w:tabs>
              <w:tab w:val="right" w:leader="dot" w:pos="9026"/>
            </w:tabs>
            <w:spacing w:before="120" w:after="60"/>
          </w:pPr>
          <w:hyperlink w:anchor="_Toc100120" w:history="1">
            <w:r>
              <w:rPr>
                <w:rStyle w:val="Hyperlink"/>
              </w:rPr>
              <w:t>Seed Round: $5M (Current Round)</w:t>
            </w:r>
            <w:r>
              <w:tab/>
            </w:r>
            <w:r>
              <w:fldChar w:fldCharType="begin"/>
            </w:r>
            <w:r>
              <w:instrText xml:space="preserve"> PAGEREF _Toc100120 \h </w:instrText>
            </w:r>
            <w:r>
              <w:fldChar w:fldCharType="separate"/>
            </w:r>
            <w:r>
              <w:t>37</w:t>
            </w:r>
            <w:r>
              <w:fldChar w:fldCharType="end"/>
            </w:r>
          </w:hyperlink>
        </w:p>
        <w:p>
          <w:pPr>
            <w:pStyle w:val="12"/>
            <w:ind w:left="720"/>
            <w:tabs>
              <w:tab w:val="right" w:leader="dot" w:pos="9026"/>
            </w:tabs>
            <w:spacing w:before="120" w:after="60"/>
          </w:pPr>
          <w:hyperlink w:anchor="_Toc100121" w:history="1">
            <w:r>
              <w:rPr>
                <w:rStyle w:val="Hyperlink"/>
              </w:rPr>
              <w:t>Series A: $15-25M (Months 18-24)</w:t>
            </w:r>
            <w:r>
              <w:tab/>
            </w:r>
            <w:r>
              <w:fldChar w:fldCharType="begin"/>
            </w:r>
            <w:r>
              <w:instrText xml:space="preserve"> PAGEREF _Toc100121 \h </w:instrText>
            </w:r>
            <w:r>
              <w:fldChar w:fldCharType="separate"/>
            </w:r>
            <w:r>
              <w:t>37</w:t>
            </w:r>
            <w:r>
              <w:fldChar w:fldCharType="end"/>
            </w:r>
          </w:hyperlink>
        </w:p>
        <w:p>
          <w:pPr>
            <w:pStyle w:val="12"/>
            <w:ind w:left="720"/>
            <w:tabs>
              <w:tab w:val="right" w:leader="dot" w:pos="9026"/>
            </w:tabs>
            <w:spacing w:before="120" w:after="60"/>
          </w:pPr>
          <w:hyperlink w:anchor="_Toc100122" w:history="1">
            <w:r>
              <w:rPr>
                <w:rStyle w:val="Hyperlink"/>
              </w:rPr>
              <w:t>Series B: $50-80M (Year 4)</w:t>
            </w:r>
            <w:r>
              <w:tab/>
            </w:r>
            <w:r>
              <w:fldChar w:fldCharType="begin"/>
            </w:r>
            <w:r>
              <w:instrText xml:space="preserve"> PAGEREF _Toc100122 \h </w:instrText>
            </w:r>
            <w:r>
              <w:fldChar w:fldCharType="separate"/>
            </w:r>
            <w:r>
              <w:t>38</w:t>
            </w:r>
            <w:r>
              <w:fldChar w:fldCharType="end"/>
            </w:r>
          </w:hyperlink>
        </w:p>
        <w:p>
          <w:pPr>
            <w:pStyle w:val="11"/>
            <w:ind w:left="360"/>
            <w:tabs>
              <w:tab w:val="right" w:leader="dot" w:pos="9026"/>
            </w:tabs>
            <w:spacing w:before="120" w:after="60"/>
          </w:pPr>
          <w:hyperlink w:anchor="_Toc100123" w:history="1">
            <w:r>
              <w:rPr>
                <w:rStyle w:val="Hyperlink"/>
              </w:rPr>
              <w:t>10.4 Exit Strategy / ROI Potential</w:t>
            </w:r>
            <w:r>
              <w:tab/>
            </w:r>
            <w:r>
              <w:fldChar w:fldCharType="begin"/>
            </w:r>
            <w:r>
              <w:instrText xml:space="preserve"> PAGEREF _Toc100123 \h </w:instrText>
            </w:r>
            <w:r>
              <w:fldChar w:fldCharType="separate"/>
            </w:r>
            <w:r>
              <w:t>38</w:t>
            </w:r>
            <w:r>
              <w:fldChar w:fldCharType="end"/>
            </w:r>
          </w:hyperlink>
        </w:p>
        <w:p>
          <w:pPr>
            <w:pStyle w:val="9"/>
            <w:tabs>
              <w:tab w:val="right" w:leader="dot" w:pos="9026"/>
            </w:tabs>
            <w:spacing w:before="120" w:after="60"/>
          </w:pPr>
          <w:hyperlink w:anchor="_Toc100124" w:history="1">
            <w:r>
              <w:rPr>
                <w:rStyle w:val="Hyperlink"/>
              </w:rPr>
              <w:t>11. Risk Analysis</w:t>
            </w:r>
            <w:r>
              <w:tab/>
            </w:r>
            <w:r>
              <w:fldChar w:fldCharType="begin"/>
            </w:r>
            <w:r>
              <w:instrText xml:space="preserve"> PAGEREF _Toc100124 \h </w:instrText>
            </w:r>
            <w:r>
              <w:fldChar w:fldCharType="separate"/>
            </w:r>
            <w:r>
              <w:t>39</w:t>
            </w:r>
            <w:r>
              <w:fldChar w:fldCharType="end"/>
            </w:r>
          </w:hyperlink>
        </w:p>
        <w:p>
          <w:pPr>
            <w:pStyle w:val="11"/>
            <w:ind w:left="360"/>
            <w:tabs>
              <w:tab w:val="right" w:leader="dot" w:pos="9026"/>
            </w:tabs>
            <w:spacing w:before="120" w:after="60"/>
          </w:pPr>
          <w:hyperlink w:anchor="_Toc100125" w:history="1">
            <w:r>
              <w:rPr>
                <w:rStyle w:val="Hyperlink"/>
              </w:rPr>
              <w:t>11.1 Key Risks with Mitigation Strategies</w:t>
            </w:r>
            <w:r>
              <w:tab/>
            </w:r>
            <w:r>
              <w:fldChar w:fldCharType="begin"/>
            </w:r>
            <w:r>
              <w:instrText xml:space="preserve"> PAGEREF _Toc100125 \h </w:instrText>
            </w:r>
            <w:r>
              <w:fldChar w:fldCharType="separate"/>
            </w:r>
            <w:r>
              <w:t>39</w:t>
            </w:r>
            <w:r>
              <w:fldChar w:fldCharType="end"/>
            </w:r>
          </w:hyperlink>
        </w:p>
        <w:p>
          <w:pPr>
            <w:pStyle w:val="11"/>
            <w:ind w:left="360"/>
            <w:tabs>
              <w:tab w:val="right" w:leader="dot" w:pos="9026"/>
            </w:tabs>
            <w:spacing w:before="120" w:after="60"/>
          </w:pPr>
          <w:hyperlink w:anchor="_Toc100126" w:history="1">
            <w:r>
              <w:rPr>
                <w:rStyle w:val="Hyperlink"/>
              </w:rPr>
              <w:t>11.2 Risk Matrix (Probability vs Impact)</w:t>
            </w:r>
            <w:r>
              <w:tab/>
            </w:r>
            <w:r>
              <w:fldChar w:fldCharType="begin"/>
            </w:r>
            <w:r>
              <w:instrText xml:space="preserve"> PAGEREF _Toc100126 \h </w:instrText>
            </w:r>
            <w:r>
              <w:fldChar w:fldCharType="separate"/>
            </w:r>
            <w:r>
              <w:t>39</w:t>
            </w:r>
            <w:r>
              <w:fldChar w:fldCharType="end"/>
            </w:r>
          </w:hyperlink>
        </w:p>
        <w:p>
          <w:pPr>
            <w:pStyle w:val="9"/>
            <w:tabs>
              <w:tab w:val="right" w:leader="dot" w:pos="9026"/>
            </w:tabs>
            <w:spacing w:before="120" w:after="60"/>
          </w:pPr>
          <w:hyperlink w:anchor="_Toc100127" w:history="1">
            <w:r>
              <w:rPr>
                <w:rStyle w:val="Hyperlink"/>
              </w:rPr>
              <w:t>12. Appendix</w:t>
            </w:r>
            <w:r>
              <w:tab/>
            </w:r>
            <w:r>
              <w:fldChar w:fldCharType="begin"/>
            </w:r>
            <w:r>
              <w:instrText xml:space="preserve"> PAGEREF _Toc100127 \h </w:instrText>
            </w:r>
            <w:r>
              <w:fldChar w:fldCharType="separate"/>
            </w:r>
            <w:r>
              <w:t>39</w:t>
            </w:r>
            <w:r>
              <w:fldChar w:fldCharType="end"/>
            </w:r>
          </w:hyperlink>
        </w:p>
        <w:p>
          <w:pPr>
            <w:pStyle w:val="11"/>
            <w:ind w:left="360"/>
            <w:tabs>
              <w:tab w:val="right" w:leader="dot" w:pos="9026"/>
            </w:tabs>
            <w:spacing w:before="120" w:after="60"/>
          </w:pPr>
          <w:hyperlink w:anchor="_Toc100128" w:history="1">
            <w:r>
              <w:rPr>
                <w:rStyle w:val="Hyperlink"/>
              </w:rPr>
              <w:t>12.1 Glossary of Terms</w:t>
            </w:r>
            <w:r>
              <w:tab/>
            </w:r>
            <w:r>
              <w:fldChar w:fldCharType="begin"/>
            </w:r>
            <w:r>
              <w:instrText xml:space="preserve"> PAGEREF _Toc100128 \h </w:instrText>
            </w:r>
            <w:r>
              <w:fldChar w:fldCharType="separate"/>
            </w:r>
            <w:r>
              <w:t>40</w:t>
            </w:r>
            <w:r>
              <w:fldChar w:fldCharType="end"/>
            </w:r>
          </w:hyperlink>
        </w:p>
        <w:p>
          <w:pPr>
            <w:pStyle w:val="11"/>
            <w:ind w:left="360"/>
            <w:tabs>
              <w:tab w:val="right" w:leader="dot" w:pos="9026"/>
            </w:tabs>
            <w:spacing w:before="120" w:after="60"/>
          </w:pPr>
          <w:hyperlink w:anchor="_Toc100129" w:history="1">
            <w:r>
              <w:rPr>
                <w:rStyle w:val="Hyperlink"/>
              </w:rPr>
              <w:t>12.2 References</w:t>
            </w:r>
            <w:r>
              <w:tab/>
            </w:r>
            <w:r>
              <w:fldChar w:fldCharType="begin"/>
            </w:r>
            <w:r>
              <w:instrText xml:space="preserve"> PAGEREF _Toc100129 \h </w:instrText>
            </w:r>
            <w:r>
              <w:fldChar w:fldCharType="separate"/>
            </w:r>
            <w:r>
              <w:t>40</w:t>
            </w:r>
            <w:r>
              <w:fldChar w:fldCharType="end"/>
            </w:r>
          </w:hyperlink>
        </w:p>
        <w:p>
          <w:pPr>
            <w:pStyle w:val="11"/>
            <w:ind w:left="360"/>
            <w:tabs>
              <w:tab w:val="right" w:leader="dot" w:pos="9026"/>
            </w:tabs>
            <w:spacing w:before="120" w:after="60"/>
          </w:pPr>
          <w:hyperlink w:anchor="_Toc100130" w:history="1">
            <w:r>
              <w:rPr>
                <w:rStyle w:val="Hyperlink"/>
              </w:rPr>
              <w:t>12.3 Contact Information</w:t>
            </w:r>
            <w:r>
              <w:tab/>
            </w:r>
            <w:r>
              <w:fldChar w:fldCharType="begin"/>
            </w:r>
            <w:r>
              <w:instrText xml:space="preserve"> PAGEREF _Toc100130 \h </w:instrText>
            </w:r>
            <w:r>
              <w:fldChar w:fldCharType="separate"/>
            </w:r>
            <w:r>
              <w:t>40</w:t>
            </w:r>
            <w:r>
              <w:fldChar w:fldCharType="end"/>
            </w:r>
          </w:hyperlink>
        </w:p>
        <w:p>
          <w:r>
            <w:fldChar w:fldCharType="end"/>
          </w:r>
        </w:p>
      </w:sdtContent>
    </w:sdt>
    <w:p>
      <w:pPr>
        <w:spacing w:before="200"/>
      </w:pPr>
      <w:r>
        <w:rPr>
          <w:i/>
          <w:iCs/>
          <w:color w:val="888888"/>
          <w:sz w:val="18"/>
          <w:szCs w:val="18"/>
        </w:rPr>
        <w:t xml:space="preserve">Note: Right-click this Table of Contents and select "Update Field" to refresh page numbers.</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400" w:line="312"/>
      </w:pPr>
      <w:bookmarkStart w:id="100000" w:name="_Toc100000"/>
      <w:r>
        <w:rPr>
          <w:rFonts w:ascii="Calibri" w:eastAsia="SimHei"/>
          <w:b/>
          <w:bCs/>
          <w:color w:val="1A2330"/>
          <w:sz w:val="32"/>
          <w:szCs w:val="32"/>
        </w:rPr>
        <w:t xml:space="preserve">1. Executive Summary</w:t>
      </w:r>
      <w:bookmarkEnd w:id="100000"/>
    </w:p>
    <w:p>
      <w:pPr>
        <w:pStyle w:val="Heading2"/>
        <w:spacing w:after="160" w:before="300" w:line="312"/>
      </w:pPr>
      <w:bookmarkStart w:id="100001" w:name="_Toc100001"/>
      <w:r>
        <w:rPr>
          <w:rFonts w:ascii="Calibri" w:eastAsia="SimHei"/>
          <w:b/>
          <w:bCs/>
          <w:color w:val="1A2330"/>
          <w:sz w:val="28"/>
          <w:szCs w:val="28"/>
        </w:rPr>
        <w:t xml:space="preserve">1.1 Vision Statement</w:t>
      </w:r>
      <w:bookmarkEnd w:id="100001"/>
    </w:p>
    <w:p>
      <w:pPr>
        <w:spacing w:after="120" w:line="312"/>
        <w:ind w:firstLine="480"/>
        <w:jc w:val="both"/>
      </w:pPr>
      <w:r>
        <w:rPr>
          <w:rFonts w:ascii="Times New Roman" w:eastAsia="Microsoft YaHei"/>
          <w:color w:val="2C3E50"/>
          <w:sz w:val="24"/>
          <w:szCs w:val="24"/>
        </w:rPr>
        <w:t xml:space="preserve">Endeavor Science is building AETH-1, the world's first truly accessible scientific computing platform designed to democratize discovery. Our vision is a future where every researcher, from graduate students to pharmaceutical scientists, has access to enterprise-grade computational tools without the traditional barriers of cost, complexity, and infrastructure requirements.</w:t>
      </w:r>
    </w:p>
    <w:p>
      <w:pPr>
        <w:spacing w:after="120" w:line="312"/>
        <w:ind w:firstLine="480"/>
        <w:jc w:val="both"/>
      </w:pPr>
      <w:r>
        <w:rPr>
          <w:rFonts w:ascii="Times New Roman" w:eastAsia="Microsoft YaHei"/>
          <w:color w:val="2C3E50"/>
          <w:sz w:val="24"/>
          <w:szCs w:val="24"/>
        </w:rPr>
        <w:t xml:space="preserve">We believe that scientific breakthroughs should not be limited by computational resources or software accessibility. AETH-1 represents a paradigm shift in how the global research community approaches data analysis, simulation, and collaborative discovery.</w:t>
      </w:r>
    </w:p>
    <w:p>
      <w:pPr>
        <w:pStyle w:val="Heading2"/>
        <w:spacing w:after="160" w:before="300" w:line="312"/>
      </w:pPr>
      <w:bookmarkStart w:id="100002" w:name="_Toc100002"/>
      <w:r>
        <w:rPr>
          <w:rFonts w:ascii="Calibri" w:eastAsia="SimHei"/>
          <w:b/>
          <w:bCs/>
          <w:color w:val="1A2330"/>
          <w:sz w:val="28"/>
          <w:szCs w:val="28"/>
        </w:rPr>
        <w:t xml:space="preserve">1.2 Problem Overview</w:t>
      </w:r>
      <w:bookmarkEnd w:id="100002"/>
    </w:p>
    <w:p>
      <w:pPr>
        <w:spacing w:after="120" w:line="312"/>
        <w:ind w:firstLine="480"/>
        <w:jc w:val="both"/>
      </w:pPr>
      <w:r>
        <w:rPr>
          <w:rFonts w:ascii="Times New Roman" w:eastAsia="Microsoft YaHei"/>
          <w:color w:val="2C3E50"/>
          <w:sz w:val="24"/>
          <w:szCs w:val="24"/>
        </w:rPr>
        <w:t xml:space="preserve">The current scientific software landscape is fragmented, expensive, and inaccessible to the majority of researchers worldwide. Key pain points include: prohibitively expensive licensing costs that exclude smaller institutions and developing nations; steep learning curves requiring specialized training; siloed tools that don't integrate well with each other; massive infrastructure requirements that individual labs cannot afford; and collaboration barriers that slow down the pace of scientific progress.</w:t>
      </w:r>
    </w:p>
    <w:p>
      <w:pPr>
        <w:spacing w:after="120" w:line="312"/>
        <w:ind w:firstLine="480"/>
        <w:jc w:val="both"/>
      </w:pPr>
      <w:r>
        <w:rPr>
          <w:rFonts w:ascii="Times New Roman" w:eastAsia="Microsoft YaHei"/>
          <w:color w:val="2C3E50"/>
          <w:sz w:val="24"/>
          <w:szCs w:val="24"/>
        </w:rPr>
        <w:t xml:space="preserve">Our market research indicates that over 70% of academic researchers and 45% of industry R&amp;D teams report being unable to fully pursue promising research directions due to software and computational limitations. This represents not just a market opportunity, but a fundamental inefficiency in the global scientific enterprise.</w:t>
      </w:r>
    </w:p>
    <w:p>
      <w:pPr>
        <w:pStyle w:val="Heading2"/>
        <w:spacing w:after="160" w:before="300" w:line="312"/>
      </w:pPr>
      <w:bookmarkStart w:id="100003" w:name="_Toc100003"/>
      <w:r>
        <w:rPr>
          <w:rFonts w:ascii="Calibri" w:eastAsia="SimHei"/>
          <w:b/>
          <w:bCs/>
          <w:color w:val="1A2330"/>
          <w:sz w:val="28"/>
          <w:szCs w:val="28"/>
        </w:rPr>
        <w:t xml:space="preserve">1.3 Solution Summary</w:t>
      </w:r>
      <w:bookmarkEnd w:id="100003"/>
    </w:p>
    <w:p>
      <w:pPr>
        <w:spacing w:after="120" w:line="312"/>
        <w:ind w:firstLine="480"/>
        <w:jc w:val="both"/>
      </w:pPr>
      <w:r>
        <w:rPr>
          <w:rFonts w:ascii="Times New Roman" w:eastAsia="Microsoft YaHei"/>
          <w:color w:val="2C3E50"/>
          <w:sz w:val="24"/>
          <w:szCs w:val="24"/>
        </w:rPr>
        <w:t xml:space="preserve">AETH-1 is a cloud-native scientific computing platform that combines intuitive user interfaces with powerful backend computation. Our platform offers: a unified workspace for multiple scientific disciplines including molecular modeling, bioinformatics, materials science, and data analysis; seamless integration with existing workflows through APIs and plugins; collaborative features enabling real-time teamwork across institutions; transparent pay-as-you-go pricing that scales from individual researchers to large enterprises; and built-in reproducibility and compliance features essential for modern research.</w:t>
      </w:r>
    </w:p>
    <w:p>
      <w:pPr>
        <w:pStyle w:val="Heading2"/>
        <w:spacing w:after="160" w:before="300" w:line="312"/>
      </w:pPr>
      <w:bookmarkStart w:id="100004" w:name="_Toc100004"/>
      <w:r>
        <w:rPr>
          <w:rFonts w:ascii="Calibri" w:eastAsia="SimHei"/>
          <w:b/>
          <w:bCs/>
          <w:color w:val="1A2330"/>
          <w:sz w:val="28"/>
          <w:szCs w:val="28"/>
        </w:rPr>
        <w:t xml:space="preserve">1.4 Market Opportunity Highlights</w:t>
      </w:r>
      <w:bookmarkEnd w:id="100004"/>
    </w:p>
    <w:p>
      <w:pPr>
        <w:spacing w:after="120" w:line="312"/>
        <w:ind w:firstLine="480"/>
        <w:jc w:val="both"/>
      </w:pPr>
      <w:r>
        <w:rPr>
          <w:rFonts w:ascii="Times New Roman" w:eastAsia="Microsoft YaHei"/>
          <w:color w:val="2C3E50"/>
          <w:sz w:val="24"/>
          <w:szCs w:val="24"/>
        </w:rPr>
        <w:t xml:space="preserve">The global scientific software market exceeds $45 billion annually, with projected growth of 12% CAGR through 2030. Our addressable market spans four primary segments: Academic Research ($15B), Biotech/Pharma R&amp;D ($18B), Industrial R&amp;D ($8B), and Government/Defense ($4B). The total addressable market (TAM) for our platform approach is $45B, with a serviceable addressable market (SAM) of $18B in our initial target segments, and an achievable serviceable obtainable market (SOM) of $900M by Year 5.</w:t>
      </w:r>
    </w:p>
    <w:p>
      <w:pPr>
        <w:pStyle w:val="Heading2"/>
        <w:spacing w:after="160" w:before="300" w:line="312"/>
      </w:pPr>
      <w:bookmarkStart w:id="100005" w:name="_Toc100005"/>
      <w:r>
        <w:rPr>
          <w:rFonts w:ascii="Calibri" w:eastAsia="SimHei"/>
          <w:b/>
          <w:bCs/>
          <w:color w:val="1A2330"/>
          <w:sz w:val="28"/>
          <w:szCs w:val="28"/>
        </w:rPr>
        <w:t xml:space="preserve">1.5 Business Model Snapshot</w:t>
      </w:r>
      <w:bookmarkEnd w:id="100005"/>
    </w:p>
    <w:p>
      <w:pPr>
        <w:spacing w:after="120" w:line="312"/>
        <w:ind w:firstLine="480"/>
        <w:jc w:val="both"/>
      </w:pPr>
      <w:r>
        <w:rPr>
          <w:rFonts w:ascii="Times New Roman" w:eastAsia="Microsoft YaHei"/>
          <w:color w:val="2C3E50"/>
          <w:sz w:val="24"/>
          <w:szCs w:val="24"/>
        </w:rPr>
        <w:t xml:space="preserve">Endeavor Science operates on a multi-tier SaaS model with five revenue streams: subscription tiers (Free/Pro/Team/Enterprise), compute credits for heavy workloads, marketplace commissions on third-party tools and datasets, training and certification programs, and professional services for custom implementations. This diversified approach ensures stable recurring revenue while capturing high-value enterprise opportunities.</w:t>
      </w:r>
    </w:p>
    <w:p>
      <w:pPr>
        <w:pStyle w:val="Heading2"/>
        <w:spacing w:after="160" w:before="300" w:line="312"/>
      </w:pPr>
      <w:bookmarkStart w:id="100006" w:name="_Toc100006"/>
      <w:r>
        <w:rPr>
          <w:rFonts w:ascii="Calibri" w:eastAsia="SimHei"/>
          <w:b/>
          <w:bCs/>
          <w:color w:val="1A2330"/>
          <w:sz w:val="28"/>
          <w:szCs w:val="28"/>
        </w:rPr>
        <w:t xml:space="preserve">1.6 Financial Highlights</w:t>
      </w:r>
      <w:bookmarkEnd w:id="100006"/>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35%"/>
            <w:shd w:fill="D4875A" w:val="clear"/>
            <w:tcMar>
              <w:top w:type="dxa" w:w="60"/>
              <w:left w:type="dxa" w:w="120"/>
              <w:bottom w:type="dxa" w:w="60"/>
              <w:right w:type="dxa" w:w="120"/>
            </w:tcMar>
          </w:tcPr>
          <w:p>
            <w:r>
              <w:rPr>
                <w:b/>
                <w:bCs/>
                <w:color w:val="FFFFFF"/>
                <w:sz w:val="21"/>
                <w:szCs w:val="21"/>
              </w:rPr>
              <w:t xml:space="preserve">Metric</w:t>
            </w:r>
          </w:p>
        </w:tc>
        <w:tc>
          <w:tcPr>
            <w:tcW w:type="pct" w:w="16%"/>
            <w:shd w:fill="D4875A" w:val="clear"/>
            <w:tcMar>
              <w:top w:type="dxa" w:w="60"/>
              <w:left w:type="dxa" w:w="120"/>
              <w:bottom w:type="dxa" w:w="60"/>
              <w:right w:type="dxa" w:w="120"/>
            </w:tcMar>
          </w:tcPr>
          <w:p>
            <w:r>
              <w:rPr>
                <w:b/>
                <w:bCs/>
                <w:color w:val="FFFFFF"/>
                <w:sz w:val="21"/>
                <w:szCs w:val="21"/>
              </w:rPr>
              <w:t xml:space="preserve">Year 1</w:t>
            </w:r>
          </w:p>
        </w:tc>
        <w:tc>
          <w:tcPr>
            <w:tcW w:type="pct" w:w="22%"/>
            <w:shd w:fill="D4875A" w:val="clear"/>
            <w:tcMar>
              <w:top w:type="dxa" w:w="60"/>
              <w:left w:type="dxa" w:w="120"/>
              <w:bottom w:type="dxa" w:w="60"/>
              <w:right w:type="dxa" w:w="120"/>
            </w:tcMar>
          </w:tcPr>
          <w:p>
            <w:r>
              <w:rPr>
                <w:b/>
                <w:bCs/>
                <w:color w:val="FFFFFF"/>
                <w:sz w:val="21"/>
                <w:szCs w:val="21"/>
              </w:rPr>
              <w:t xml:space="preserve">Year 3</w:t>
            </w:r>
          </w:p>
        </w:tc>
        <w:tc>
          <w:tcPr>
            <w:tcW w:type="pct" w:w="27%"/>
            <w:shd w:fill="D4875A" w:val="clear"/>
            <w:tcMar>
              <w:top w:type="dxa" w:w="60"/>
              <w:left w:type="dxa" w:w="120"/>
              <w:bottom w:type="dxa" w:w="60"/>
              <w:right w:type="dxa" w:w="120"/>
            </w:tcMar>
          </w:tcPr>
          <w:p>
            <w:r>
              <w:rPr>
                <w:b/>
                <w:bCs/>
                <w:color w:val="FFFFFF"/>
                <w:sz w:val="21"/>
                <w:szCs w:val="21"/>
              </w:rPr>
              <w:t xml:space="preserve">Year 5</w:t>
            </w:r>
          </w:p>
        </w:tc>
      </w:tr>
      <w:tr>
        <w:trPr>
          <w:cantSplit/>
        </w:trPr>
        <w:tc>
          <w:tcPr>
            <w:tcW w:type="pct" w:w="35%"/>
            <w:shd w:fill="F8F0EB" w:val="clear"/>
            <w:tcMar>
              <w:top w:type="dxa" w:w="60"/>
              <w:left w:type="dxa" w:w="120"/>
              <w:bottom w:type="dxa" w:w="60"/>
              <w:right w:type="dxa" w:w="120"/>
            </w:tcMar>
          </w:tcPr>
          <w:p>
            <w:r>
              <w:rPr>
                <w:sz w:val="21"/>
                <w:szCs w:val="21"/>
              </w:rPr>
              <w:t xml:space="preserve">Annual Revenue</w:t>
            </w:r>
          </w:p>
        </w:tc>
        <w:tc>
          <w:tcPr>
            <w:tcW w:type="pct" w:w="16%"/>
            <w:shd w:fill="F8F0EB" w:val="clear"/>
            <w:tcMar>
              <w:top w:type="dxa" w:w="60"/>
              <w:left w:type="dxa" w:w="120"/>
              <w:bottom w:type="dxa" w:w="60"/>
              <w:right w:type="dxa" w:w="120"/>
            </w:tcMar>
          </w:tcPr>
          <w:p>
            <w:r>
              <w:rPr>
                <w:sz w:val="21"/>
                <w:szCs w:val="21"/>
              </w:rPr>
              <w:t xml:space="preserve">$1.2M</w:t>
            </w:r>
          </w:p>
        </w:tc>
        <w:tc>
          <w:tcPr>
            <w:tcW w:type="pct" w:w="22%"/>
            <w:shd w:fill="F8F0EB" w:val="clear"/>
            <w:tcMar>
              <w:top w:type="dxa" w:w="60"/>
              <w:left w:type="dxa" w:w="120"/>
              <w:bottom w:type="dxa" w:w="60"/>
              <w:right w:type="dxa" w:w="120"/>
            </w:tcMar>
          </w:tcPr>
          <w:p>
            <w:r>
              <w:rPr>
                <w:sz w:val="21"/>
                <w:szCs w:val="21"/>
              </w:rPr>
              <w:t xml:space="preserve">$18M</w:t>
            </w:r>
          </w:p>
        </w:tc>
        <w:tc>
          <w:tcPr>
            <w:tcW w:type="pct" w:w="27%"/>
            <w:shd w:fill="F8F0EB" w:val="clear"/>
            <w:tcMar>
              <w:top w:type="dxa" w:w="60"/>
              <w:left w:type="dxa" w:w="120"/>
              <w:bottom w:type="dxa" w:w="60"/>
              <w:right w:type="dxa" w:w="120"/>
            </w:tcMar>
          </w:tcPr>
          <w:p>
            <w:r>
              <w:rPr>
                <w:sz w:val="21"/>
                <w:szCs w:val="21"/>
              </w:rPr>
              <w:t xml:space="preserve">$85M</w:t>
            </w:r>
          </w:p>
        </w:tc>
      </w:tr>
      <w:tr>
        <w:trPr>
          <w:cantSplit/>
        </w:trPr>
        <w:tc>
          <w:tcPr>
            <w:tcW w:type="pct" w:w="35%"/>
            <w:shd w:fill="FFFFFF" w:val="clear"/>
            <w:tcMar>
              <w:top w:type="dxa" w:w="60"/>
              <w:left w:type="dxa" w:w="120"/>
              <w:bottom w:type="dxa" w:w="60"/>
              <w:right w:type="dxa" w:w="120"/>
            </w:tcMar>
          </w:tcPr>
          <w:p>
            <w:r>
              <w:rPr>
                <w:sz w:val="21"/>
                <w:szCs w:val="21"/>
              </w:rPr>
              <w:t xml:space="preserve">ARR Growth</w:t>
            </w:r>
          </w:p>
        </w:tc>
        <w:tc>
          <w:tcPr>
            <w:tcW w:type="pct" w:w="16%"/>
            <w:shd w:fill="FFFFFF" w:val="clear"/>
            <w:tcMar>
              <w:top w:type="dxa" w:w="60"/>
              <w:left w:type="dxa" w:w="120"/>
              <w:bottom w:type="dxa" w:w="60"/>
              <w:right w:type="dxa" w:w="120"/>
            </w:tcMar>
          </w:tcPr>
          <w:p>
            <w:r>
              <w:rPr>
                <w:sz w:val="21"/>
                <w:szCs w:val="21"/>
              </w:rPr>
              <w:t xml:space="preserve">-</w:t>
            </w:r>
          </w:p>
        </w:tc>
        <w:tc>
          <w:tcPr>
            <w:tcW w:type="pct" w:w="22%"/>
            <w:shd w:fill="FFFFFF" w:val="clear"/>
            <w:tcMar>
              <w:top w:type="dxa" w:w="60"/>
              <w:left w:type="dxa" w:w="120"/>
              <w:bottom w:type="dxa" w:w="60"/>
              <w:right w:type="dxa" w:w="120"/>
            </w:tcMar>
          </w:tcPr>
          <w:p>
            <w:r>
              <w:rPr>
                <w:sz w:val="21"/>
                <w:szCs w:val="21"/>
              </w:rPr>
              <w:t xml:space="preserve">285%</w:t>
            </w:r>
          </w:p>
        </w:tc>
        <w:tc>
          <w:tcPr>
            <w:tcW w:type="pct" w:w="27%"/>
            <w:shd w:fill="FFFFFF" w:val="clear"/>
            <w:tcMar>
              <w:top w:type="dxa" w:w="60"/>
              <w:left w:type="dxa" w:w="120"/>
              <w:bottom w:type="dxa" w:w="60"/>
              <w:right w:type="dxa" w:w="120"/>
            </w:tcMar>
          </w:tcPr>
          <w:p>
            <w:r>
              <w:rPr>
                <w:sz w:val="21"/>
                <w:szCs w:val="21"/>
              </w:rPr>
              <w:t xml:space="preserve">156%</w:t>
            </w:r>
          </w:p>
        </w:tc>
      </w:tr>
      <w:tr>
        <w:trPr>
          <w:cantSplit/>
        </w:trPr>
        <w:tc>
          <w:tcPr>
            <w:tcW w:type="pct" w:w="35%"/>
            <w:shd w:fill="F8F0EB" w:val="clear"/>
            <w:tcMar>
              <w:top w:type="dxa" w:w="60"/>
              <w:left w:type="dxa" w:w="120"/>
              <w:bottom w:type="dxa" w:w="60"/>
              <w:right w:type="dxa" w:w="120"/>
            </w:tcMar>
          </w:tcPr>
          <w:p>
            <w:r>
              <w:rPr>
                <w:sz w:val="21"/>
                <w:szCs w:val="21"/>
              </w:rPr>
              <w:t xml:space="preserve">Gross Margin</w:t>
            </w:r>
          </w:p>
        </w:tc>
        <w:tc>
          <w:tcPr>
            <w:tcW w:type="pct" w:w="16%"/>
            <w:shd w:fill="F8F0EB" w:val="clear"/>
            <w:tcMar>
              <w:top w:type="dxa" w:w="60"/>
              <w:left w:type="dxa" w:w="120"/>
              <w:bottom w:type="dxa" w:w="60"/>
              <w:right w:type="dxa" w:w="120"/>
            </w:tcMar>
          </w:tcPr>
          <w:p>
            <w:r>
              <w:rPr>
                <w:sz w:val="21"/>
                <w:szCs w:val="21"/>
              </w:rPr>
              <w:t xml:space="preserve">72%</w:t>
            </w:r>
          </w:p>
        </w:tc>
        <w:tc>
          <w:tcPr>
            <w:tcW w:type="pct" w:w="22%"/>
            <w:shd w:fill="F8F0EB" w:val="clear"/>
            <w:tcMar>
              <w:top w:type="dxa" w:w="60"/>
              <w:left w:type="dxa" w:w="120"/>
              <w:bottom w:type="dxa" w:w="60"/>
              <w:right w:type="dxa" w:w="120"/>
            </w:tcMar>
          </w:tcPr>
          <w:p>
            <w:r>
              <w:rPr>
                <w:sz w:val="21"/>
                <w:szCs w:val="21"/>
              </w:rPr>
              <w:t xml:space="preserve">78%</w:t>
            </w:r>
          </w:p>
        </w:tc>
        <w:tc>
          <w:tcPr>
            <w:tcW w:type="pct" w:w="27%"/>
            <w:shd w:fill="F8F0EB" w:val="clear"/>
            <w:tcMar>
              <w:top w:type="dxa" w:w="60"/>
              <w:left w:type="dxa" w:w="120"/>
              <w:bottom w:type="dxa" w:w="60"/>
              <w:right w:type="dxa" w:w="120"/>
            </w:tcMar>
          </w:tcPr>
          <w:p>
            <w:r>
              <w:rPr>
                <w:sz w:val="21"/>
                <w:szCs w:val="21"/>
              </w:rPr>
              <w:t xml:space="preserve">82%</w:t>
            </w:r>
          </w:p>
        </w:tc>
      </w:tr>
      <w:tr>
        <w:trPr>
          <w:cantSplit/>
        </w:trPr>
        <w:tc>
          <w:tcPr>
            <w:tcW w:type="pct" w:w="35%"/>
            <w:shd w:fill="FFFFFF" w:val="clear"/>
            <w:tcMar>
              <w:top w:type="dxa" w:w="60"/>
              <w:left w:type="dxa" w:w="120"/>
              <w:bottom w:type="dxa" w:w="60"/>
              <w:right w:type="dxa" w:w="120"/>
            </w:tcMar>
          </w:tcPr>
          <w:p>
            <w:r>
              <w:rPr>
                <w:sz w:val="21"/>
                <w:szCs w:val="21"/>
              </w:rPr>
              <w:t xml:space="preserve">Customers</w:t>
            </w:r>
          </w:p>
        </w:tc>
        <w:tc>
          <w:tcPr>
            <w:tcW w:type="pct" w:w="16%"/>
            <w:shd w:fill="FFFFFF" w:val="clear"/>
            <w:tcMar>
              <w:top w:type="dxa" w:w="60"/>
              <w:left w:type="dxa" w:w="120"/>
              <w:bottom w:type="dxa" w:w="60"/>
              <w:right w:type="dxa" w:w="120"/>
            </w:tcMar>
          </w:tcPr>
          <w:p>
            <w:r>
              <w:rPr>
                <w:sz w:val="21"/>
                <w:szCs w:val="21"/>
              </w:rPr>
              <w:t xml:space="preserve">450</w:t>
            </w:r>
          </w:p>
        </w:tc>
        <w:tc>
          <w:tcPr>
            <w:tcW w:type="pct" w:w="22%"/>
            <w:shd w:fill="FFFFFF" w:val="clear"/>
            <w:tcMar>
              <w:top w:type="dxa" w:w="60"/>
              <w:left w:type="dxa" w:w="120"/>
              <w:bottom w:type="dxa" w:w="60"/>
              <w:right w:type="dxa" w:w="120"/>
            </w:tcMar>
          </w:tcPr>
          <w:p>
            <w:r>
              <w:rPr>
                <w:sz w:val="21"/>
                <w:szCs w:val="21"/>
              </w:rPr>
              <w:t xml:space="preserve">4,200</w:t>
            </w:r>
          </w:p>
        </w:tc>
        <w:tc>
          <w:tcPr>
            <w:tcW w:type="pct" w:w="27%"/>
            <w:shd w:fill="FFFFFF" w:val="clear"/>
            <w:tcMar>
              <w:top w:type="dxa" w:w="60"/>
              <w:left w:type="dxa" w:w="120"/>
              <w:bottom w:type="dxa" w:w="60"/>
              <w:right w:type="dxa" w:w="120"/>
            </w:tcMar>
          </w:tcPr>
          <w:p>
            <w:r>
              <w:rPr>
                <w:sz w:val="21"/>
                <w:szCs w:val="21"/>
              </w:rPr>
              <w:t xml:space="preserve">18,500</w:t>
            </w:r>
          </w:p>
        </w:tc>
      </w:tr>
      <w:tr>
        <w:trPr>
          <w:cantSplit/>
        </w:trPr>
        <w:tc>
          <w:tcPr>
            <w:tcW w:type="pct" w:w="35%"/>
            <w:shd w:fill="F8F0EB" w:val="clear"/>
            <w:tcMar>
              <w:top w:type="dxa" w:w="60"/>
              <w:left w:type="dxa" w:w="120"/>
              <w:bottom w:type="dxa" w:w="60"/>
              <w:right w:type="dxa" w:w="120"/>
            </w:tcMar>
          </w:tcPr>
          <w:p>
            <w:r>
              <w:rPr>
                <w:sz w:val="21"/>
                <w:szCs w:val="21"/>
              </w:rPr>
              <w:t xml:space="preserve">Enterprise Clients</w:t>
            </w:r>
          </w:p>
        </w:tc>
        <w:tc>
          <w:tcPr>
            <w:tcW w:type="pct" w:w="16%"/>
            <w:shd w:fill="F8F0EB" w:val="clear"/>
            <w:tcMar>
              <w:top w:type="dxa" w:w="60"/>
              <w:left w:type="dxa" w:w="120"/>
              <w:bottom w:type="dxa" w:w="60"/>
              <w:right w:type="dxa" w:w="120"/>
            </w:tcMar>
          </w:tcPr>
          <w:p>
            <w:r>
              <w:rPr>
                <w:sz w:val="21"/>
                <w:szCs w:val="21"/>
              </w:rPr>
              <w:t xml:space="preserve">12</w:t>
            </w:r>
          </w:p>
        </w:tc>
        <w:tc>
          <w:tcPr>
            <w:tcW w:type="pct" w:w="22%"/>
            <w:shd w:fill="F8F0EB" w:val="clear"/>
            <w:tcMar>
              <w:top w:type="dxa" w:w="60"/>
              <w:left w:type="dxa" w:w="120"/>
              <w:bottom w:type="dxa" w:w="60"/>
              <w:right w:type="dxa" w:w="120"/>
            </w:tcMar>
          </w:tcPr>
          <w:p>
            <w:r>
              <w:rPr>
                <w:sz w:val="21"/>
                <w:szCs w:val="21"/>
              </w:rPr>
              <w:t xml:space="preserve">145</w:t>
            </w:r>
          </w:p>
        </w:tc>
        <w:tc>
          <w:tcPr>
            <w:tcW w:type="pct" w:w="27%"/>
            <w:shd w:fill="F8F0EB" w:val="clear"/>
            <w:tcMar>
              <w:top w:type="dxa" w:w="60"/>
              <w:left w:type="dxa" w:w="120"/>
              <w:bottom w:type="dxa" w:w="60"/>
              <w:right w:type="dxa" w:w="120"/>
            </w:tcMar>
          </w:tcPr>
          <w:p>
            <w:r>
              <w:rPr>
                <w:sz w:val="21"/>
                <w:szCs w:val="21"/>
              </w:rPr>
              <w:t xml:space="preserve">680</w:t>
            </w:r>
          </w:p>
        </w:tc>
      </w:tr>
    </w:tbl>
    <w:p>
      <w:pPr>
        <w:spacing w:after="200"/>
      </w:pPr>
    </w:p>
    <w:p>
      <w:pPr>
        <w:pStyle w:val="Heading2"/>
        <w:spacing w:after="160" w:before="300" w:line="312"/>
      </w:pPr>
      <w:bookmarkStart w:id="100007" w:name="_Toc100007"/>
      <w:r>
        <w:rPr>
          <w:rFonts w:ascii="Calibri" w:eastAsia="SimHei"/>
          <w:b/>
          <w:bCs/>
          <w:color w:val="1A2330"/>
          <w:sz w:val="28"/>
          <w:szCs w:val="28"/>
        </w:rPr>
        <w:t xml:space="preserve">1.7 Funding Requirements</w:t>
      </w:r>
      <w:bookmarkEnd w:id="100007"/>
    </w:p>
    <w:p>
      <w:pPr>
        <w:spacing w:after="120" w:line="312"/>
        <w:ind w:firstLine="480"/>
        <w:jc w:val="both"/>
      </w:pPr>
      <w:r>
        <w:rPr>
          <w:rFonts w:ascii="Times New Roman" w:eastAsia="Microsoft YaHei"/>
          <w:color w:val="2C3E50"/>
          <w:sz w:val="24"/>
          <w:szCs w:val="24"/>
        </w:rPr>
        <w:t xml:space="preserve">We are seeking $5M in seed funding to complete platform development, establish initial market presence, and achieve product-market fit. Subsequent rounds include Series A ($15-25M at 18-24 months) for scaling operations and geographic expansion, and Series B ($50-80M at Year 4) for international growth and potential strategic acquisitions.</w:t>
      </w:r>
    </w:p>
    <w:p>
      <w:pPr>
        <w:pStyle w:val="Heading2"/>
        <w:spacing w:after="160" w:before="300" w:line="312"/>
      </w:pPr>
      <w:bookmarkStart w:id="100008" w:name="_Toc100008"/>
      <w:r>
        <w:rPr>
          <w:rFonts w:ascii="Calibri" w:eastAsia="SimHei"/>
          <w:b/>
          <w:bCs/>
          <w:color w:val="1A2330"/>
          <w:sz w:val="28"/>
          <w:szCs w:val="28"/>
        </w:rPr>
        <w:t xml:space="preserve">1.8 The Team Advantage</w:t>
      </w:r>
      <w:bookmarkEnd w:id="100008"/>
    </w:p>
    <w:p>
      <w:pPr>
        <w:spacing w:after="120" w:line="312"/>
        <w:ind w:firstLine="480"/>
        <w:jc w:val="both"/>
      </w:pPr>
      <w:r>
        <w:rPr>
          <w:rFonts w:ascii="Times New Roman" w:eastAsia="Microsoft YaHei"/>
          <w:color w:val="2C3E50"/>
          <w:sz w:val="24"/>
          <w:szCs w:val="24"/>
        </w:rPr>
        <w:t xml:space="preserve">Our founding team possesses a rare combination of deep scientific expertise and full-stack engineering capabilities. With postgraduate-level credentials spanning Molecular Biology, Bioinformatics, Chemistry, Computational Physics, and Data Science, combined with technical proficiency across Assembly, C, Fortran, JVM internals, Functional Programming, Big Data technologies, Modern Web frameworks, and Cloud infrastructure, we are uniquely positioned to bridge the gap between scientific needs and technological solutions.</w:t>
      </w:r>
    </w:p>
    <w:p>
      <w:pPr>
        <w:pStyle w:val="Heading1"/>
        <w:spacing w:after="200" w:before="400" w:line="312"/>
      </w:pPr>
      <w:bookmarkStart w:id="100009" w:name="_Toc100009"/>
      <w:r>
        <w:rPr>
          <w:rFonts w:ascii="Calibri" w:eastAsia="SimHei"/>
          <w:b/>
          <w:bCs/>
          <w:color w:val="1A2330"/>
          <w:sz w:val="32"/>
          <w:szCs w:val="32"/>
        </w:rPr>
        <w:t xml:space="preserve">2. Company Overview</w:t>
      </w:r>
      <w:bookmarkEnd w:id="100009"/>
    </w:p>
    <w:p>
      <w:pPr>
        <w:pStyle w:val="Heading2"/>
        <w:spacing w:after="160" w:before="300" w:line="312"/>
      </w:pPr>
      <w:bookmarkStart w:id="100010" w:name="_Toc100010"/>
      <w:r>
        <w:rPr>
          <w:rFonts w:ascii="Calibri" w:eastAsia="SimHei"/>
          <w:b/>
          <w:bCs/>
          <w:color w:val="1A2330"/>
          <w:sz w:val="28"/>
          <w:szCs w:val="28"/>
        </w:rPr>
        <w:t xml:space="preserve">2.1 Mission Statement</w:t>
      </w:r>
      <w:bookmarkEnd w:id="100010"/>
    </w:p>
    <w:p>
      <w:pPr>
        <w:spacing w:after="120" w:line="312"/>
        <w:ind w:firstLine="480"/>
        <w:jc w:val="both"/>
      </w:pPr>
      <w:r>
        <w:rPr>
          <w:rFonts w:ascii="Times New Roman" w:eastAsia="Microsoft YaHei"/>
          <w:color w:val="2C3E50"/>
          <w:sz w:val="24"/>
          <w:szCs w:val="24"/>
        </w:rPr>
        <w:t xml:space="preserve">To democratize scientific discovery by providing every researcher with accessible, powerful, and collaborative computing tools that accelerate breakthrough innovations and advance human knowledge.</w:t>
      </w:r>
    </w:p>
    <w:p>
      <w:pPr>
        <w:pStyle w:val="Heading2"/>
        <w:spacing w:after="160" w:before="300" w:line="312"/>
      </w:pPr>
      <w:bookmarkStart w:id="100011" w:name="_Toc100011"/>
      <w:r>
        <w:rPr>
          <w:rFonts w:ascii="Calibri" w:eastAsia="SimHei"/>
          <w:b/>
          <w:bCs/>
          <w:color w:val="1A2330"/>
          <w:sz w:val="28"/>
          <w:szCs w:val="28"/>
        </w:rPr>
        <w:t xml:space="preserve">2.2 Vision</w:t>
      </w:r>
      <w:bookmarkEnd w:id="100011"/>
    </w:p>
    <w:p>
      <w:pPr>
        <w:spacing w:after="120" w:line="312"/>
        <w:ind w:firstLine="480"/>
        <w:jc w:val="both"/>
      </w:pPr>
      <w:r>
        <w:rPr>
          <w:rFonts w:ascii="Times New Roman" w:eastAsia="Microsoft YaHei"/>
          <w:color w:val="2C3E50"/>
          <w:sz w:val="24"/>
          <w:szCs w:val="24"/>
        </w:rPr>
        <w:t xml:space="preserve">We envision a world where geographical location, institutional affiliation, or budget constraints never limit a researcher's ability to pursue groundbreaking science. In this future, AETH-1 serves as the universal platform connecting minds, data, and compute resources across the global scientific community.</w:t>
      </w:r>
    </w:p>
    <w:p>
      <w:pPr>
        <w:pStyle w:val="Heading2"/>
        <w:spacing w:after="160" w:before="300" w:line="312"/>
      </w:pPr>
      <w:bookmarkStart w:id="100012" w:name="_Toc100012"/>
      <w:r>
        <w:rPr>
          <w:rFonts w:ascii="Calibri" w:eastAsia="SimHei"/>
          <w:b/>
          <w:bCs/>
          <w:color w:val="1A2330"/>
          <w:sz w:val="28"/>
          <w:szCs w:val="28"/>
        </w:rPr>
        <w:t xml:space="preserve">2.3 Core Values</w:t>
      </w:r>
      <w:bookmarkEnd w:id="100012"/>
    </w:p>
    <w:p>
      <w:pPr>
        <w:pStyle w:val="Heading3"/>
        <w:spacing w:after="120" w:before="240" w:line="312"/>
      </w:pPr>
      <w:bookmarkStart w:id="100013" w:name="_Toc100013"/>
      <w:r>
        <w:rPr>
          <w:rFonts w:ascii="Calibri" w:eastAsia="SimHei"/>
          <w:b/>
          <w:bCs/>
          <w:color w:val="1A2330"/>
          <w:sz w:val="24"/>
          <w:szCs w:val="24"/>
        </w:rPr>
        <w:t xml:space="preserve">Accessibility First</w:t>
      </w:r>
      <w:bookmarkEnd w:id="100013"/>
    </w:p>
    <w:p>
      <w:pPr>
        <w:spacing w:after="120" w:line="312"/>
        <w:ind w:firstLine="480"/>
        <w:jc w:val="both"/>
      </w:pPr>
      <w:r>
        <w:rPr>
          <w:rFonts w:ascii="Times New Roman" w:eastAsia="Microsoft YaHei"/>
          <w:color w:val="2C3E50"/>
          <w:sz w:val="24"/>
          <w:szCs w:val="24"/>
        </w:rPr>
        <w:t xml:space="preserve">Scientific tools should be available to everyone, not just well-funded institutions. We design for inclusivity from the ground up, ensuring our platform serves researchers at all career stages and resource levels.</w:t>
      </w:r>
    </w:p>
    <w:p>
      <w:pPr>
        <w:pStyle w:val="Heading3"/>
        <w:spacing w:after="120" w:before="240" w:line="312"/>
      </w:pPr>
      <w:bookmarkStart w:id="100014" w:name="_Toc100014"/>
      <w:r>
        <w:rPr>
          <w:rFonts w:ascii="Calibri" w:eastAsia="SimHei"/>
          <w:b/>
          <w:bCs/>
          <w:color w:val="1A2330"/>
          <w:sz w:val="24"/>
          <w:szCs w:val="24"/>
        </w:rPr>
        <w:t xml:space="preserve">Reproducibility by Design</w:t>
      </w:r>
      <w:bookmarkEnd w:id="100014"/>
    </w:p>
    <w:p>
      <w:pPr>
        <w:spacing w:after="120" w:line="312"/>
        <w:ind w:firstLine="480"/>
        <w:jc w:val="both"/>
      </w:pPr>
      <w:r>
        <w:rPr>
          <w:rFonts w:ascii="Times New Roman" w:eastAsia="Microsoft YaHei"/>
          <w:color w:val="2C3E50"/>
          <w:sz w:val="24"/>
          <w:szCs w:val="24"/>
        </w:rPr>
        <w:t xml:space="preserve">Modern science demands rigorous standards. Every feature we build supports transparent, reproducible research practices that meet the highest academic and regulatory standards.</w:t>
      </w:r>
    </w:p>
    <w:p>
      <w:pPr>
        <w:pStyle w:val="Heading3"/>
        <w:spacing w:after="120" w:before="240" w:line="312"/>
      </w:pPr>
      <w:bookmarkStart w:id="100015" w:name="_Toc100015"/>
      <w:r>
        <w:rPr>
          <w:rFonts w:ascii="Calibri" w:eastAsia="SimHei"/>
          <w:b/>
          <w:bCs/>
          <w:color w:val="1A2330"/>
          <w:sz w:val="24"/>
          <w:szCs w:val="24"/>
        </w:rPr>
        <w:t xml:space="preserve">Community Driven</w:t>
      </w:r>
      <w:bookmarkEnd w:id="100015"/>
    </w:p>
    <w:p>
      <w:pPr>
        <w:spacing w:after="120" w:line="312"/>
        <w:ind w:firstLine="480"/>
        <w:jc w:val="both"/>
      </w:pPr>
      <w:r>
        <w:rPr>
          <w:rFonts w:ascii="Times New Roman" w:eastAsia="Microsoft YaHei"/>
          <w:color w:val="2C3E50"/>
          <w:sz w:val="24"/>
          <w:szCs w:val="24"/>
        </w:rPr>
        <w:t xml:space="preserve">Our platform evolves through active engagement with the research community. User feedback directly shapes our roadmap, and open-source contributions are welcomed and rewarded.</w:t>
      </w:r>
    </w:p>
    <w:p>
      <w:pPr>
        <w:pStyle w:val="Heading3"/>
        <w:spacing w:after="120" w:before="240" w:line="312"/>
      </w:pPr>
      <w:bookmarkStart w:id="100016" w:name="_Toc100016"/>
      <w:r>
        <w:rPr>
          <w:rFonts w:ascii="Calibri" w:eastAsia="SimHei"/>
          <w:b/>
          <w:bCs/>
          <w:color w:val="1A2330"/>
          <w:sz w:val="24"/>
          <w:szCs w:val="24"/>
        </w:rPr>
        <w:t xml:space="preserve">Innovation Without Barriers</w:t>
      </w:r>
      <w:bookmarkEnd w:id="100016"/>
    </w:p>
    <w:p>
      <w:pPr>
        <w:spacing w:after="120" w:line="312"/>
        <w:ind w:firstLine="480"/>
        <w:jc w:val="both"/>
      </w:pPr>
      <w:r>
        <w:rPr>
          <w:rFonts w:ascii="Times New Roman" w:eastAsia="Microsoft YaHei"/>
          <w:color w:val="2C3E50"/>
          <w:sz w:val="24"/>
          <w:szCs w:val="24"/>
        </w:rPr>
        <w:t xml:space="preserve">We believe the next great discovery shouldn't wait for better software. Our commitment to continuous improvement means researchers always have access to cutting-edge capabilities.</w:t>
      </w:r>
    </w:p>
    <w:p>
      <w:pPr>
        <w:pStyle w:val="Heading2"/>
        <w:spacing w:after="160" w:before="300" w:line="312"/>
      </w:pPr>
      <w:bookmarkStart w:id="100017" w:name="_Toc100017"/>
      <w:r>
        <w:rPr>
          <w:rFonts w:ascii="Calibri" w:eastAsia="SimHei"/>
          <w:b/>
          <w:bCs/>
          <w:color w:val="1A2330"/>
          <w:sz w:val="28"/>
          <w:szCs w:val="28"/>
        </w:rPr>
        <w:t xml:space="preserve">2.4 Company History &amp; Founding Story</w:t>
      </w:r>
      <w:bookmarkEnd w:id="100017"/>
    </w:p>
    <w:p>
      <w:pPr>
        <w:spacing w:after="120" w:line="312"/>
        <w:ind w:firstLine="480"/>
        <w:jc w:val="both"/>
      </w:pPr>
      <w:r>
        <w:rPr>
          <w:rFonts w:ascii="Times New Roman" w:eastAsia="Microsoft YaHei"/>
          <w:color w:val="2C3E50"/>
          <w:sz w:val="24"/>
          <w:szCs w:val="24"/>
        </w:rPr>
        <w:t xml:space="preserve">Endeavor Science was founded in 2024 by TestDemo, whose unique background spans both advanced scientific research and enterprise software development. The inspiration for AETH-1 emerged from firsthand experience with the frustrations researchers face when trying to translate innovative ideas into computational reality.</w:t>
      </w:r>
    </w:p>
    <w:p>
      <w:pPr>
        <w:spacing w:after="120" w:line="312"/>
        <w:ind w:firstLine="480"/>
        <w:jc w:val="both"/>
      </w:pPr>
      <w:r>
        <w:rPr>
          <w:rFonts w:ascii="Times New Roman" w:eastAsia="Microsoft YaHei"/>
          <w:color w:val="2C3E50"/>
          <w:sz w:val="24"/>
          <w:szCs w:val="24"/>
        </w:rPr>
        <w:t xml:space="preserve">After years of observing talented scientists struggle with incompatible tools, opaque pricing, and inadequate support, the decision was clear: build something better. The company name 'Endeavor' reflects our commitment to the tireless pursuit of scientific advancement, while 'AETH-1' (derived from Aether, the classical element of the heavens) symbolizes our aspiration to elevate human knowledge.</w:t>
      </w:r>
    </w:p>
    <w:p>
      <w:pPr>
        <w:pStyle w:val="Heading2"/>
        <w:spacing w:after="160" w:before="300" w:line="312"/>
      </w:pPr>
      <w:bookmarkStart w:id="100018" w:name="_Toc100018"/>
      <w:r>
        <w:rPr>
          <w:rFonts w:ascii="Calibri" w:eastAsia="SimHei"/>
          <w:b/>
          <w:bCs/>
          <w:color w:val="1A2330"/>
          <w:sz w:val="28"/>
          <w:szCs w:val="28"/>
        </w:rPr>
        <w:t xml:space="preserve">2.5 Strategic Objectives</w:t>
      </w:r>
      <w:bookmarkEnd w:id="100018"/>
    </w:p>
    <w:p>
      <w:pPr>
        <w:pStyle w:val="Heading3"/>
        <w:spacing w:after="120" w:before="240" w:line="312"/>
      </w:pPr>
      <w:bookmarkStart w:id="100019" w:name="_Toc100019"/>
      <w:r>
        <w:rPr>
          <w:rFonts w:ascii="Calibri" w:eastAsia="SimHei"/>
          <w:b/>
          <w:bCs/>
          <w:color w:val="1A2330"/>
          <w:sz w:val="24"/>
          <w:szCs w:val="24"/>
        </w:rPr>
        <w:t xml:space="preserve">Year 1 Goals (Foundation)</w:t>
      </w:r>
      <w:bookmarkEnd w:id="100019"/>
    </w:p>
    <w:p>
      <w:pPr>
        <w:pStyle w:val="ListParagraph"/>
        <w:numPr>
          <w:ilvl w:val="0"/>
          <w:numId w:val="1"/>
        </w:numPr>
        <w:spacing w:after="80" w:line="312"/>
      </w:pPr>
      <w:r>
        <w:rPr>
          <w:rFonts w:ascii="Times New Roman" w:eastAsia="Microsoft YaHei"/>
          <w:color w:val="2C3E50"/>
          <w:sz w:val="24"/>
          <w:szCs w:val="24"/>
        </w:rPr>
        <w:t xml:space="preserve">Complete core platform development and launch public beta</w:t>
      </w:r>
    </w:p>
    <w:p>
      <w:pPr>
        <w:pStyle w:val="ListParagraph"/>
        <w:numPr>
          <w:ilvl w:val="0"/>
          <w:numId w:val="1"/>
        </w:numPr>
        <w:spacing w:after="80" w:line="312"/>
      </w:pPr>
      <w:r>
        <w:rPr>
          <w:rFonts w:ascii="Times New Roman" w:eastAsia="Microsoft YaHei"/>
          <w:color w:val="2C3E50"/>
          <w:sz w:val="24"/>
          <w:szCs w:val="24"/>
        </w:rPr>
        <w:t xml:space="preserve">Acquire first 500 active users across academic and early commercial segments</w:t>
      </w:r>
    </w:p>
    <w:p>
      <w:pPr>
        <w:pStyle w:val="ListParagraph"/>
        <w:numPr>
          <w:ilvl w:val="0"/>
          <w:numId w:val="1"/>
        </w:numPr>
        <w:spacing w:after="80" w:line="312"/>
      </w:pPr>
      <w:r>
        <w:rPr>
          <w:rFonts w:ascii="Times New Roman" w:eastAsia="Microsoft YaHei"/>
          <w:color w:val="2C3E50"/>
          <w:sz w:val="24"/>
          <w:szCs w:val="24"/>
        </w:rPr>
        <w:t xml:space="preserve">Establish partnerships with 10 leading research institutions</w:t>
      </w:r>
    </w:p>
    <w:p>
      <w:pPr>
        <w:pStyle w:val="ListParagraph"/>
        <w:numPr>
          <w:ilvl w:val="0"/>
          <w:numId w:val="1"/>
        </w:numPr>
        <w:spacing w:after="80" w:line="312"/>
      </w:pPr>
      <w:r>
        <w:rPr>
          <w:rFonts w:ascii="Times New Roman" w:eastAsia="Microsoft YaHei"/>
          <w:color w:val="2C3E50"/>
          <w:sz w:val="24"/>
          <w:szCs w:val="24"/>
        </w:rPr>
        <w:t xml:space="preserve">Achieve product-market fit validation with measurable user retention metrics</w:t>
      </w:r>
    </w:p>
    <w:p>
      <w:pPr>
        <w:pStyle w:val="Heading3"/>
        <w:spacing w:after="120" w:before="240" w:line="312"/>
      </w:pPr>
      <w:bookmarkStart w:id="100020" w:name="_Toc100020"/>
      <w:r>
        <w:rPr>
          <w:rFonts w:ascii="Calibri" w:eastAsia="SimHei"/>
          <w:b/>
          <w:bCs/>
          <w:color w:val="1A2330"/>
          <w:sz w:val="24"/>
          <w:szCs w:val="24"/>
        </w:rPr>
        <w:t xml:space="preserve">Year 2-3 Goals (Growth)</w:t>
      </w:r>
      <w:bookmarkEnd w:id="100020"/>
    </w:p>
    <w:p>
      <w:pPr>
        <w:pStyle w:val="ListParagraph"/>
        <w:numPr>
          <w:ilvl w:val="0"/>
          <w:numId w:val="1"/>
        </w:numPr>
        <w:spacing w:after="80" w:line="312"/>
      </w:pPr>
      <w:r>
        <w:rPr>
          <w:rFonts w:ascii="Times New Roman" w:eastAsia="Microsoft YaHei"/>
          <w:color w:val="2C3E50"/>
          <w:sz w:val="24"/>
          <w:szCs w:val="24"/>
        </w:rPr>
        <w:t xml:space="preserve">Scale to 5,000+ active users with strong enterprise adoption</w:t>
      </w:r>
    </w:p>
    <w:p>
      <w:pPr>
        <w:pStyle w:val="ListParagraph"/>
        <w:numPr>
          <w:ilvl w:val="0"/>
          <w:numId w:val="1"/>
        </w:numPr>
        <w:spacing w:after="80" w:line="312"/>
      </w:pPr>
      <w:r>
        <w:rPr>
          <w:rFonts w:ascii="Times New Roman" w:eastAsia="Microsoft YaHei"/>
          <w:color w:val="2C3E50"/>
          <w:sz w:val="24"/>
          <w:szCs w:val="24"/>
        </w:rPr>
        <w:t xml:space="preserve">Expand marketplace with 50+ third-party integrations</w:t>
      </w:r>
    </w:p>
    <w:p>
      <w:pPr>
        <w:pStyle w:val="ListParagraph"/>
        <w:numPr>
          <w:ilvl w:val="0"/>
          <w:numId w:val="1"/>
        </w:numPr>
        <w:spacing w:after="80" w:line="312"/>
      </w:pPr>
      <w:r>
        <w:rPr>
          <w:rFonts w:ascii="Times New Roman" w:eastAsia="Microsoft YaHei"/>
          <w:color w:val="2C3E50"/>
          <w:sz w:val="24"/>
          <w:szCs w:val="24"/>
        </w:rPr>
        <w:t xml:space="preserve">Launch in European and Asia-Pacific markets</w:t>
      </w:r>
    </w:p>
    <w:p>
      <w:pPr>
        <w:pStyle w:val="ListParagraph"/>
        <w:numPr>
          <w:ilvl w:val="0"/>
          <w:numId w:val="1"/>
        </w:numPr>
        <w:spacing w:after="80" w:line="312"/>
      </w:pPr>
      <w:r>
        <w:rPr>
          <w:rFonts w:ascii="Times New Roman" w:eastAsia="Microsoft YaHei"/>
          <w:color w:val="2C3E50"/>
          <w:sz w:val="24"/>
          <w:szCs w:val="24"/>
        </w:rPr>
        <w:t xml:space="preserve">Establish AETH-1 as recognized brand in scientific computing</w:t>
      </w:r>
    </w:p>
    <w:p>
      <w:pPr>
        <w:pStyle w:val="Heading3"/>
        <w:spacing w:after="120" w:before="240" w:line="312"/>
      </w:pPr>
      <w:bookmarkStart w:id="100021" w:name="_Toc100021"/>
      <w:r>
        <w:rPr>
          <w:rFonts w:ascii="Calibri" w:eastAsia="SimHei"/>
          <w:b/>
          <w:bCs/>
          <w:color w:val="1A2330"/>
          <w:sz w:val="24"/>
          <w:szCs w:val="24"/>
        </w:rPr>
        <w:t xml:space="preserve">Year 4-5 Goals (Leadership)</w:t>
      </w:r>
      <w:bookmarkEnd w:id="100021"/>
    </w:p>
    <w:p>
      <w:pPr>
        <w:pStyle w:val="ListParagraph"/>
        <w:numPr>
          <w:ilvl w:val="0"/>
          <w:numId w:val="1"/>
        </w:numPr>
        <w:spacing w:after="80" w:line="312"/>
      </w:pPr>
      <w:r>
        <w:rPr>
          <w:rFonts w:ascii="Times New Roman" w:eastAsia="Microsoft YaHei"/>
          <w:color w:val="2C3E50"/>
          <w:sz w:val="24"/>
          <w:szCs w:val="24"/>
        </w:rPr>
        <w:t xml:space="preserve">Achieve market leadership position in key verticals</w:t>
      </w:r>
    </w:p>
    <w:p>
      <w:pPr>
        <w:pStyle w:val="ListParagraph"/>
        <w:numPr>
          <w:ilvl w:val="0"/>
          <w:numId w:val="1"/>
        </w:numPr>
        <w:spacing w:after="80" w:line="312"/>
      </w:pPr>
      <w:r>
        <w:rPr>
          <w:rFonts w:ascii="Times New Roman" w:eastAsia="Microsoft YaHei"/>
          <w:color w:val="2C3E50"/>
          <w:sz w:val="24"/>
          <w:szCs w:val="24"/>
        </w:rPr>
        <w:t xml:space="preserve">Global presence across North America, Europe, and Asia-Pacific</w:t>
      </w:r>
    </w:p>
    <w:p>
      <w:pPr>
        <w:pStyle w:val="ListParagraph"/>
        <w:numPr>
          <w:ilvl w:val="0"/>
          <w:numId w:val="1"/>
        </w:numPr>
        <w:spacing w:after="80" w:line="312"/>
      </w:pPr>
      <w:r>
        <w:rPr>
          <w:rFonts w:ascii="Times New Roman" w:eastAsia="Microsoft YaHei"/>
          <w:color w:val="2C3E50"/>
          <w:sz w:val="24"/>
          <w:szCs w:val="24"/>
        </w:rPr>
        <w:t xml:space="preserve">Strategic acquisitions to expand capability portfolio</w:t>
      </w:r>
    </w:p>
    <w:p>
      <w:pPr>
        <w:pStyle w:val="ListParagraph"/>
        <w:numPr>
          <w:ilvl w:val="0"/>
          <w:numId w:val="1"/>
        </w:numPr>
        <w:spacing w:after="80" w:line="312"/>
      </w:pPr>
      <w:r>
        <w:rPr>
          <w:rFonts w:ascii="Times New Roman" w:eastAsia="Microsoft YaHei"/>
          <w:color w:val="2C3E50"/>
          <w:sz w:val="24"/>
          <w:szCs w:val="24"/>
        </w:rPr>
        <w:t xml:space="preserve">Path to profitability or successful exit opportunity</w:t>
      </w:r>
    </w:p>
    <w:p>
      <w:pPr>
        <w:pStyle w:val="Heading1"/>
        <w:spacing w:after="200" w:before="400" w:line="312"/>
      </w:pPr>
      <w:bookmarkStart w:id="100022" w:name="_Toc100022"/>
      <w:r>
        <w:rPr>
          <w:rFonts w:ascii="Calibri" w:eastAsia="SimHei"/>
          <w:b/>
          <w:bCs/>
          <w:color w:val="1A2330"/>
          <w:sz w:val="32"/>
          <w:szCs w:val="32"/>
        </w:rPr>
        <w:t xml:space="preserve">3. Market Analysis</w:t>
      </w:r>
      <w:bookmarkEnd w:id="100022"/>
    </w:p>
    <w:p>
      <w:pPr>
        <w:pStyle w:val="Heading2"/>
        <w:spacing w:after="160" w:before="300" w:line="312"/>
      </w:pPr>
      <w:bookmarkStart w:id="100023" w:name="_Toc100023"/>
      <w:r>
        <w:rPr>
          <w:rFonts w:ascii="Calibri" w:eastAsia="SimHei"/>
          <w:b/>
          <w:bCs/>
          <w:color w:val="1A2330"/>
          <w:sz w:val="28"/>
          <w:szCs w:val="28"/>
        </w:rPr>
        <w:t xml:space="preserve">3.1 Industry Overview</w:t>
      </w:r>
      <w:bookmarkEnd w:id="100023"/>
    </w:p>
    <w:p>
      <w:pPr>
        <w:spacing w:after="120" w:line="312"/>
        <w:ind w:firstLine="480"/>
        <w:jc w:val="both"/>
      </w:pPr>
      <w:r>
        <w:rPr>
          <w:rFonts w:ascii="Times New Roman" w:eastAsia="Microsoft YaHei"/>
          <w:color w:val="2C3E50"/>
          <w:sz w:val="24"/>
          <w:szCs w:val="24"/>
        </w:rPr>
        <w:t xml:space="preserve">The scientific software industry stands at an inflection point. Traditional desktop-based tools are giving way to cloud-native platforms, driven by increasing dataset sizes, the need for collaborative research, and the democratization of machine learning techniques. The COVID-19 pandemic accelerated digital transformation in research by an estimated 5-7 years, creating unprecedented openness to new technological solutions.</w:t>
      </w:r>
    </w:p>
    <w:p>
      <w:pPr>
        <w:spacing w:after="120" w:line="312"/>
        <w:ind w:firstLine="480"/>
        <w:jc w:val="both"/>
      </w:pPr>
      <w:r>
        <w:rPr>
          <w:rFonts w:ascii="Times New Roman" w:eastAsia="Microsoft YaHei"/>
          <w:color w:val="2C3E50"/>
          <w:sz w:val="24"/>
          <w:szCs w:val="24"/>
        </w:rPr>
        <w:t xml:space="preserve">Key industry drivers include: exponential growth in research data volumes requiring sophisticated analysis tools; increased regulatory pressure for reproducibility and audit trails; growing importance of AI/ML in scientific discovery; shift toward remote and distributed research teams; and rising expectations among younger researchers for modern, intuitive software experiences.</w:t>
      </w:r>
    </w:p>
    <w:p>
      <w:pPr>
        <w:pStyle w:val="Heading2"/>
        <w:spacing w:after="160" w:before="300" w:line="312"/>
      </w:pPr>
      <w:bookmarkStart w:id="100024" w:name="_Toc100024"/>
      <w:r>
        <w:rPr>
          <w:rFonts w:ascii="Calibri" w:eastAsia="SimHei"/>
          <w:b/>
          <w:bCs/>
          <w:color w:val="1A2330"/>
          <w:sz w:val="28"/>
          <w:szCs w:val="28"/>
        </w:rPr>
        <w:t xml:space="preserve">3.2 Market Size Analysis</w:t>
      </w:r>
      <w:bookmarkEnd w:id="100024"/>
    </w:p>
    <w:p>
      <w:pPr>
        <w:pStyle w:val="Heading3"/>
        <w:spacing w:after="120" w:before="240" w:line="312"/>
      </w:pPr>
      <w:bookmarkStart w:id="100025" w:name="_Toc100025"/>
      <w:r>
        <w:rPr>
          <w:rFonts w:ascii="Calibri" w:eastAsia="SimHei"/>
          <w:b/>
          <w:bCs/>
          <w:color w:val="1A2330"/>
          <w:sz w:val="24"/>
          <w:szCs w:val="24"/>
        </w:rPr>
        <w:t xml:space="preserve">Total Addressable Market (TAM): $45 Billion</w:t>
      </w:r>
      <w:bookmarkEnd w:id="100025"/>
    </w:p>
    <w:p>
      <w:pPr>
        <w:spacing w:after="120" w:line="312"/>
        <w:ind w:firstLine="480"/>
        <w:jc w:val="both"/>
      </w:pPr>
      <w:r>
        <w:rPr>
          <w:rFonts w:ascii="Times New Roman" w:eastAsia="Microsoft YaHei"/>
          <w:color w:val="2C3E50"/>
          <w:sz w:val="24"/>
          <w:szCs w:val="24"/>
        </w:rPr>
        <w:t xml:space="preserve">The TAM encompasses all global spending on scientific software, computational tools, and research IT infrastructure across our target verticals. This includes license fees, cloud computing costs, consulting services, and internal development efforts.</w:t>
      </w:r>
    </w:p>
    <w:p>
      <w:pPr>
        <w:pStyle w:val="Heading3"/>
        <w:spacing w:after="120" w:before="240" w:line="312"/>
      </w:pPr>
      <w:bookmarkStart w:id="100026" w:name="_Toc100026"/>
      <w:r>
        <w:rPr>
          <w:rFonts w:ascii="Calibri" w:eastAsia="SimHei"/>
          <w:b/>
          <w:bCs/>
          <w:color w:val="1A2330"/>
          <w:sz w:val="24"/>
          <w:szCs w:val="24"/>
        </w:rPr>
        <w:t xml:space="preserve">Serviceable Addressable Market (SAM): $18 Billion</w:t>
      </w:r>
      <w:bookmarkEnd w:id="100026"/>
    </w:p>
    <w:p>
      <w:pPr>
        <w:spacing w:after="120" w:line="312"/>
        <w:ind w:firstLine="480"/>
        <w:jc w:val="both"/>
      </w:pPr>
      <w:r>
        <w:rPr>
          <w:rFonts w:ascii="Times New Roman" w:eastAsia="Microsoft YaHei"/>
          <w:color w:val="2C3E50"/>
          <w:sz w:val="24"/>
          <w:szCs w:val="24"/>
        </w:rPr>
        <w:t xml:space="preserve">Our SAM focuses on organizations actively seeking modern, cloud-based solutions within our target segments. This excludes deeply entrenched legacy installations and highly specialized niches where our generalist platform would not compete effectively.</w:t>
      </w:r>
    </w:p>
    <w:p>
      <w:pPr>
        <w:pStyle w:val="Heading3"/>
        <w:spacing w:after="120" w:before="240" w:line="312"/>
      </w:pPr>
      <w:bookmarkStart w:id="100027" w:name="_Toc100027"/>
      <w:r>
        <w:rPr>
          <w:rFonts w:ascii="Calibri" w:eastAsia="SimHei"/>
          <w:b/>
          <w:bCs/>
          <w:color w:val="1A2330"/>
          <w:sz w:val="24"/>
          <w:szCs w:val="24"/>
        </w:rPr>
        <w:t xml:space="preserve">Serviceable Obtainable Market (SOM): $900 Million</w:t>
      </w:r>
      <w:bookmarkEnd w:id="100027"/>
    </w:p>
    <w:p>
      <w:pPr>
        <w:spacing w:after="120" w:line="312"/>
        <w:ind w:firstLine="480"/>
        <w:jc w:val="both"/>
      </w:pPr>
      <w:r>
        <w:rPr>
          <w:rFonts w:ascii="Times New Roman" w:eastAsia="Microsoft YaHei"/>
          <w:color w:val="2C3E50"/>
          <w:sz w:val="24"/>
          <w:szCs w:val="24"/>
        </w:rPr>
        <w:t xml:space="preserve">Based on realistic market penetration assumptions (5% of SAM by Year 5), competitive dynamics, and go-to-market capacity constraints, our SOM represents achievable revenue opportunity within our planning horizon.</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30%"/>
            <w:shd w:fill="D4875A" w:val="clear"/>
            <w:tcMar>
              <w:top w:type="dxa" w:w="60"/>
              <w:left w:type="dxa" w:w="120"/>
              <w:bottom w:type="dxa" w:w="60"/>
              <w:right w:type="dxa" w:w="120"/>
            </w:tcMar>
          </w:tcPr>
          <w:p>
            <w:r>
              <w:rPr>
                <w:b/>
                <w:bCs/>
                <w:color w:val="FFFFFF"/>
                <w:sz w:val="21"/>
                <w:szCs w:val="21"/>
              </w:rPr>
              <w:t xml:space="preserve">Market Segment</w:t>
            </w:r>
          </w:p>
        </w:tc>
        <w:tc>
          <w:tcPr>
            <w:tcW w:type="pct" w:w="20%"/>
            <w:shd w:fill="D4875A" w:val="clear"/>
            <w:tcMar>
              <w:top w:type="dxa" w:w="60"/>
              <w:left w:type="dxa" w:w="120"/>
              <w:bottom w:type="dxa" w:w="60"/>
              <w:right w:type="dxa" w:w="120"/>
            </w:tcMar>
          </w:tcPr>
          <w:p>
            <w:r>
              <w:rPr>
                <w:b/>
                <w:bCs/>
                <w:color w:val="FFFFFF"/>
                <w:sz w:val="21"/>
                <w:szCs w:val="21"/>
              </w:rPr>
              <w:t xml:space="preserve">TAM</w:t>
            </w:r>
          </w:p>
        </w:tc>
        <w:tc>
          <w:tcPr>
            <w:tcW w:type="pct" w:w="22%"/>
            <w:shd w:fill="D4875A" w:val="clear"/>
            <w:tcMar>
              <w:top w:type="dxa" w:w="60"/>
              <w:left w:type="dxa" w:w="120"/>
              <w:bottom w:type="dxa" w:w="60"/>
              <w:right w:type="dxa" w:w="120"/>
            </w:tcMar>
          </w:tcPr>
          <w:p>
            <w:r>
              <w:rPr>
                <w:b/>
                <w:bCs/>
                <w:color w:val="FFFFFF"/>
                <w:sz w:val="21"/>
                <w:szCs w:val="21"/>
              </w:rPr>
              <w:t xml:space="preserve">SAM</w:t>
            </w:r>
          </w:p>
        </w:tc>
        <w:tc>
          <w:tcPr>
            <w:tcW w:type="pct" w:w="28%"/>
            <w:shd w:fill="D4875A" w:val="clear"/>
            <w:tcMar>
              <w:top w:type="dxa" w:w="60"/>
              <w:left w:type="dxa" w:w="120"/>
              <w:bottom w:type="dxa" w:w="60"/>
              <w:right w:type="dxa" w:w="120"/>
            </w:tcMar>
          </w:tcPr>
          <w:p>
            <w:r>
              <w:rPr>
                <w:b/>
                <w:bCs/>
                <w:color w:val="FFFFFF"/>
                <w:sz w:val="21"/>
                <w:szCs w:val="21"/>
              </w:rPr>
              <w:t xml:space="preserve">Target SOM (Y5)</w:t>
            </w:r>
          </w:p>
        </w:tc>
      </w:tr>
      <w:tr>
        <w:trPr>
          <w:cantSplit/>
        </w:trPr>
        <w:tc>
          <w:tcPr>
            <w:tcW w:type="pct" w:w="30%"/>
            <w:shd w:fill="F8F0EB" w:val="clear"/>
            <w:tcMar>
              <w:top w:type="dxa" w:w="60"/>
              <w:left w:type="dxa" w:w="120"/>
              <w:bottom w:type="dxa" w:w="60"/>
              <w:right w:type="dxa" w:w="120"/>
            </w:tcMar>
          </w:tcPr>
          <w:p>
            <w:r>
              <w:rPr>
                <w:sz w:val="21"/>
                <w:szCs w:val="21"/>
              </w:rPr>
              <w:t xml:space="preserve">Academic Research</w:t>
            </w:r>
          </w:p>
        </w:tc>
        <w:tc>
          <w:tcPr>
            <w:tcW w:type="pct" w:w="20%"/>
            <w:shd w:fill="F8F0EB" w:val="clear"/>
            <w:tcMar>
              <w:top w:type="dxa" w:w="60"/>
              <w:left w:type="dxa" w:w="120"/>
              <w:bottom w:type="dxa" w:w="60"/>
              <w:right w:type="dxa" w:w="120"/>
            </w:tcMar>
          </w:tcPr>
          <w:p>
            <w:r>
              <w:rPr>
                <w:sz w:val="21"/>
                <w:szCs w:val="21"/>
              </w:rPr>
              <w:t xml:space="preserve">$15B</w:t>
            </w:r>
          </w:p>
        </w:tc>
        <w:tc>
          <w:tcPr>
            <w:tcW w:type="pct" w:w="22%"/>
            <w:shd w:fill="F8F0EB" w:val="clear"/>
            <w:tcMar>
              <w:top w:type="dxa" w:w="60"/>
              <w:left w:type="dxa" w:w="120"/>
              <w:bottom w:type="dxa" w:w="60"/>
              <w:right w:type="dxa" w:w="120"/>
            </w:tcMar>
          </w:tcPr>
          <w:p>
            <w:r>
              <w:rPr>
                <w:sz w:val="21"/>
                <w:szCs w:val="21"/>
              </w:rPr>
              <w:t xml:space="preserve">$6B</w:t>
            </w:r>
          </w:p>
        </w:tc>
        <w:tc>
          <w:tcPr>
            <w:tcW w:type="pct" w:w="28%"/>
            <w:shd w:fill="F8F0EB" w:val="clear"/>
            <w:tcMar>
              <w:top w:type="dxa" w:w="60"/>
              <w:left w:type="dxa" w:w="120"/>
              <w:bottom w:type="dxa" w:w="60"/>
              <w:right w:type="dxa" w:w="120"/>
            </w:tcMar>
          </w:tcPr>
          <w:p>
            <w:r>
              <w:rPr>
                <w:sz w:val="21"/>
                <w:szCs w:val="21"/>
              </w:rPr>
              <w:t xml:space="preserve">$300M</w:t>
            </w:r>
          </w:p>
        </w:tc>
      </w:tr>
      <w:tr>
        <w:trPr>
          <w:cantSplit/>
        </w:trPr>
        <w:tc>
          <w:tcPr>
            <w:tcW w:type="pct" w:w="30%"/>
            <w:shd w:fill="FFFFFF" w:val="clear"/>
            <w:tcMar>
              <w:top w:type="dxa" w:w="60"/>
              <w:left w:type="dxa" w:w="120"/>
              <w:bottom w:type="dxa" w:w="60"/>
              <w:right w:type="dxa" w:w="120"/>
            </w:tcMar>
          </w:tcPr>
          <w:p>
            <w:r>
              <w:rPr>
                <w:sz w:val="21"/>
                <w:szCs w:val="21"/>
              </w:rPr>
              <w:t xml:space="preserve">Biotech/Pharma R&amp;D</w:t>
            </w:r>
          </w:p>
        </w:tc>
        <w:tc>
          <w:tcPr>
            <w:tcW w:type="pct" w:w="20%"/>
            <w:shd w:fill="FFFFFF" w:val="clear"/>
            <w:tcMar>
              <w:top w:type="dxa" w:w="60"/>
              <w:left w:type="dxa" w:w="120"/>
              <w:bottom w:type="dxa" w:w="60"/>
              <w:right w:type="dxa" w:w="120"/>
            </w:tcMar>
          </w:tcPr>
          <w:p>
            <w:r>
              <w:rPr>
                <w:sz w:val="21"/>
                <w:szCs w:val="21"/>
              </w:rPr>
              <w:t xml:space="preserve">$18B</w:t>
            </w:r>
          </w:p>
        </w:tc>
        <w:tc>
          <w:tcPr>
            <w:tcW w:type="pct" w:w="22%"/>
            <w:shd w:fill="FFFFFF" w:val="clear"/>
            <w:tcMar>
              <w:top w:type="dxa" w:w="60"/>
              <w:left w:type="dxa" w:w="120"/>
              <w:bottom w:type="dxa" w:w="60"/>
              <w:right w:type="dxa" w:w="120"/>
            </w:tcMar>
          </w:tcPr>
          <w:p>
            <w:r>
              <w:rPr>
                <w:sz w:val="21"/>
                <w:szCs w:val="21"/>
              </w:rPr>
              <w:t xml:space="preserve">$7.5B</w:t>
            </w:r>
          </w:p>
        </w:tc>
        <w:tc>
          <w:tcPr>
            <w:tcW w:type="pct" w:w="28%"/>
            <w:shd w:fill="FFFFFF" w:val="clear"/>
            <w:tcMar>
              <w:top w:type="dxa" w:w="60"/>
              <w:left w:type="dxa" w:w="120"/>
              <w:bottom w:type="dxa" w:w="60"/>
              <w:right w:type="dxa" w:w="120"/>
            </w:tcMar>
          </w:tcPr>
          <w:p>
            <w:r>
              <w:rPr>
                <w:sz w:val="21"/>
                <w:szCs w:val="21"/>
              </w:rPr>
              <w:t xml:space="preserve">$350M</w:t>
            </w:r>
          </w:p>
        </w:tc>
      </w:tr>
      <w:tr>
        <w:trPr>
          <w:cantSplit/>
        </w:trPr>
        <w:tc>
          <w:tcPr>
            <w:tcW w:type="pct" w:w="30%"/>
            <w:shd w:fill="F8F0EB" w:val="clear"/>
            <w:tcMar>
              <w:top w:type="dxa" w:w="60"/>
              <w:left w:type="dxa" w:w="120"/>
              <w:bottom w:type="dxa" w:w="60"/>
              <w:right w:type="dxa" w:w="120"/>
            </w:tcMar>
          </w:tcPr>
          <w:p>
            <w:r>
              <w:rPr>
                <w:sz w:val="21"/>
                <w:szCs w:val="21"/>
              </w:rPr>
              <w:t xml:space="preserve">Industrial R&amp;D</w:t>
            </w:r>
          </w:p>
        </w:tc>
        <w:tc>
          <w:tcPr>
            <w:tcW w:type="pct" w:w="20%"/>
            <w:shd w:fill="F8F0EB" w:val="clear"/>
            <w:tcMar>
              <w:top w:type="dxa" w:w="60"/>
              <w:left w:type="dxa" w:w="120"/>
              <w:bottom w:type="dxa" w:w="60"/>
              <w:right w:type="dxa" w:w="120"/>
            </w:tcMar>
          </w:tcPr>
          <w:p>
            <w:r>
              <w:rPr>
                <w:sz w:val="21"/>
                <w:szCs w:val="21"/>
              </w:rPr>
              <w:t xml:space="preserve">$8B</w:t>
            </w:r>
          </w:p>
        </w:tc>
        <w:tc>
          <w:tcPr>
            <w:tcW w:type="pct" w:w="22%"/>
            <w:shd w:fill="F8F0EB" w:val="clear"/>
            <w:tcMar>
              <w:top w:type="dxa" w:w="60"/>
              <w:left w:type="dxa" w:w="120"/>
              <w:bottom w:type="dxa" w:w="60"/>
              <w:right w:type="dxa" w:w="120"/>
            </w:tcMar>
          </w:tcPr>
          <w:p>
            <w:r>
              <w:rPr>
                <w:sz w:val="21"/>
                <w:szCs w:val="21"/>
              </w:rPr>
              <w:t xml:space="preserve">$3B</w:t>
            </w:r>
          </w:p>
        </w:tc>
        <w:tc>
          <w:tcPr>
            <w:tcW w:type="pct" w:w="28%"/>
            <w:shd w:fill="F8F0EB" w:val="clear"/>
            <w:tcMar>
              <w:top w:type="dxa" w:w="60"/>
              <w:left w:type="dxa" w:w="120"/>
              <w:bottom w:type="dxa" w:w="60"/>
              <w:right w:type="dxa" w:w="120"/>
            </w:tcMar>
          </w:tcPr>
          <w:p>
            <w:r>
              <w:rPr>
                <w:sz w:val="21"/>
                <w:szCs w:val="21"/>
              </w:rPr>
              <w:t xml:space="preserve">$175M</w:t>
            </w:r>
          </w:p>
        </w:tc>
      </w:tr>
      <w:tr>
        <w:trPr>
          <w:cantSplit/>
        </w:trPr>
        <w:tc>
          <w:tcPr>
            <w:tcW w:type="pct" w:w="30%"/>
            <w:shd w:fill="FFFFFF" w:val="clear"/>
            <w:tcMar>
              <w:top w:type="dxa" w:w="60"/>
              <w:left w:type="dxa" w:w="120"/>
              <w:bottom w:type="dxa" w:w="60"/>
              <w:right w:type="dxa" w:w="120"/>
            </w:tcMar>
          </w:tcPr>
          <w:p>
            <w:r>
              <w:rPr>
                <w:sz w:val="21"/>
                <w:szCs w:val="21"/>
              </w:rPr>
              <w:t xml:space="preserve">Government/Defense</w:t>
            </w:r>
          </w:p>
        </w:tc>
        <w:tc>
          <w:tcPr>
            <w:tcW w:type="pct" w:w="20%"/>
            <w:shd w:fill="FFFFFF" w:val="clear"/>
            <w:tcMar>
              <w:top w:type="dxa" w:w="60"/>
              <w:left w:type="dxa" w:w="120"/>
              <w:bottom w:type="dxa" w:w="60"/>
              <w:right w:type="dxa" w:w="120"/>
            </w:tcMar>
          </w:tcPr>
          <w:p>
            <w:r>
              <w:rPr>
                <w:sz w:val="21"/>
                <w:szCs w:val="21"/>
              </w:rPr>
              <w:t xml:space="preserve">$4B</w:t>
            </w:r>
          </w:p>
        </w:tc>
        <w:tc>
          <w:tcPr>
            <w:tcW w:type="pct" w:w="22%"/>
            <w:shd w:fill="FFFFFF" w:val="clear"/>
            <w:tcMar>
              <w:top w:type="dxa" w:w="60"/>
              <w:left w:type="dxa" w:w="120"/>
              <w:bottom w:type="dxa" w:w="60"/>
              <w:right w:type="dxa" w:w="120"/>
            </w:tcMar>
          </w:tcPr>
          <w:p>
            <w:r>
              <w:rPr>
                <w:sz w:val="21"/>
                <w:szCs w:val="21"/>
              </w:rPr>
              <w:t xml:space="preserve">$1.5B</w:t>
            </w:r>
          </w:p>
        </w:tc>
        <w:tc>
          <w:tcPr>
            <w:tcW w:type="pct" w:w="28%"/>
            <w:shd w:fill="FFFFFF" w:val="clear"/>
            <w:tcMar>
              <w:top w:type="dxa" w:w="60"/>
              <w:left w:type="dxa" w:w="120"/>
              <w:bottom w:type="dxa" w:w="60"/>
              <w:right w:type="dxa" w:w="120"/>
            </w:tcMar>
          </w:tcPr>
          <w:p>
            <w:r>
              <w:rPr>
                <w:sz w:val="21"/>
                <w:szCs w:val="21"/>
              </w:rPr>
              <w:t xml:space="preserve">$75M</w:t>
            </w:r>
          </w:p>
        </w:tc>
      </w:tr>
      <w:tr>
        <w:trPr>
          <w:cantSplit/>
        </w:trPr>
        <w:tc>
          <w:tcPr>
            <w:tcW w:type="pct" w:w="30%"/>
            <w:shd w:fill="F8F0EB" w:val="clear"/>
            <w:tcMar>
              <w:top w:type="dxa" w:w="60"/>
              <w:left w:type="dxa" w:w="120"/>
              <w:bottom w:type="dxa" w:w="60"/>
              <w:right w:type="dxa" w:w="120"/>
            </w:tcMar>
          </w:tcPr>
          <w:p>
            <w:r>
              <w:rPr>
                <w:sz w:val="21"/>
                <w:szCs w:val="21"/>
              </w:rPr>
              <w:t xml:space="preserve">TOTAL</w:t>
            </w:r>
          </w:p>
        </w:tc>
        <w:tc>
          <w:tcPr>
            <w:tcW w:type="pct" w:w="20%"/>
            <w:shd w:fill="F8F0EB" w:val="clear"/>
            <w:tcMar>
              <w:top w:type="dxa" w:w="60"/>
              <w:left w:type="dxa" w:w="120"/>
              <w:bottom w:type="dxa" w:w="60"/>
              <w:right w:type="dxa" w:w="120"/>
            </w:tcMar>
          </w:tcPr>
          <w:p>
            <w:r>
              <w:rPr>
                <w:sz w:val="21"/>
                <w:szCs w:val="21"/>
              </w:rPr>
              <w:t xml:space="preserve">$45B</w:t>
            </w:r>
          </w:p>
        </w:tc>
        <w:tc>
          <w:tcPr>
            <w:tcW w:type="pct" w:w="22%"/>
            <w:shd w:fill="F8F0EB" w:val="clear"/>
            <w:tcMar>
              <w:top w:type="dxa" w:w="60"/>
              <w:left w:type="dxa" w:w="120"/>
              <w:bottom w:type="dxa" w:w="60"/>
              <w:right w:type="dxa" w:w="120"/>
            </w:tcMar>
          </w:tcPr>
          <w:p>
            <w:r>
              <w:rPr>
                <w:sz w:val="21"/>
                <w:szCs w:val="21"/>
              </w:rPr>
              <w:t xml:space="preserve">$18B</w:t>
            </w:r>
          </w:p>
        </w:tc>
        <w:tc>
          <w:tcPr>
            <w:tcW w:type="pct" w:w="28%"/>
            <w:shd w:fill="F8F0EB" w:val="clear"/>
            <w:tcMar>
              <w:top w:type="dxa" w:w="60"/>
              <w:left w:type="dxa" w:w="120"/>
              <w:bottom w:type="dxa" w:w="60"/>
              <w:right w:type="dxa" w:w="120"/>
            </w:tcMar>
          </w:tcPr>
          <w:p>
            <w:r>
              <w:rPr>
                <w:sz w:val="21"/>
                <w:szCs w:val="21"/>
              </w:rPr>
              <w:t xml:space="preserve">$900M</w:t>
            </w:r>
          </w:p>
        </w:tc>
      </w:tr>
    </w:tbl>
    <w:p>
      <w:pPr>
        <w:spacing w:after="200"/>
      </w:pPr>
    </w:p>
    <w:p>
      <w:pPr>
        <w:pStyle w:val="Heading2"/>
        <w:spacing w:after="160" w:before="300" w:line="312"/>
      </w:pPr>
      <w:bookmarkStart w:id="100028" w:name="_Toc100028"/>
      <w:r>
        <w:rPr>
          <w:rFonts w:ascii="Calibri" w:eastAsia="SimHei"/>
          <w:b/>
          <w:bCs/>
          <w:color w:val="1A2330"/>
          <w:sz w:val="28"/>
          <w:szCs w:val="28"/>
        </w:rPr>
        <w:t xml:space="preserve">3.3 Market Trends and Drivers</w:t>
      </w:r>
      <w:bookmarkEnd w:id="100028"/>
    </w:p>
    <w:p>
      <w:pPr>
        <w:pStyle w:val="Heading3"/>
        <w:spacing w:after="120" w:before="240" w:line="312"/>
      </w:pPr>
      <w:bookmarkStart w:id="100029" w:name="_Toc100029"/>
      <w:r>
        <w:rPr>
          <w:rFonts w:ascii="Calibri" w:eastAsia="SimHei"/>
          <w:b/>
          <w:bCs/>
          <w:color w:val="1A2330"/>
          <w:sz w:val="24"/>
          <w:szCs w:val="24"/>
        </w:rPr>
        <w:t xml:space="preserve">Cloud Migration Acceleration</w:t>
      </w:r>
      <w:bookmarkEnd w:id="100029"/>
    </w:p>
    <w:p>
      <w:pPr>
        <w:spacing w:after="120" w:line="312"/>
        <w:ind w:firstLine="480"/>
        <w:jc w:val="both"/>
      </w:pPr>
      <w:r>
        <w:rPr>
          <w:rFonts w:ascii="Times New Roman" w:eastAsia="Microsoft YaHei"/>
          <w:color w:val="2C3E50"/>
          <w:sz w:val="24"/>
          <w:szCs w:val="24"/>
        </w:rPr>
        <w:t xml:space="preserve">Over 65% of research organizations now use or plan to adopt cloud computing within 24 months. Security concerns that previously slowed adoption have been largely addressed through certifications and compliance frameworks.</w:t>
      </w:r>
    </w:p>
    <w:p>
      <w:pPr>
        <w:pStyle w:val="Heading3"/>
        <w:spacing w:after="120" w:before="240" w:line="312"/>
      </w:pPr>
      <w:bookmarkStart w:id="100030" w:name="_Toc100030"/>
      <w:r>
        <w:rPr>
          <w:rFonts w:ascii="Calibri" w:eastAsia="SimHei"/>
          <w:b/>
          <w:bCs/>
          <w:color w:val="1A2330"/>
          <w:sz w:val="24"/>
          <w:szCs w:val="24"/>
        </w:rPr>
        <w:t xml:space="preserve">AI Integration Imperative</w:t>
      </w:r>
      <w:bookmarkEnd w:id="100030"/>
    </w:p>
    <w:p>
      <w:pPr>
        <w:spacing w:after="120" w:line="312"/>
        <w:ind w:firstLine="480"/>
        <w:jc w:val="both"/>
      </w:pPr>
      <w:r>
        <w:rPr>
          <w:rFonts w:ascii="Times New Roman" w:eastAsia="Microsoft YaHei"/>
          <w:color w:val="2C3E50"/>
          <w:sz w:val="24"/>
          <w:szCs w:val="24"/>
        </w:rPr>
        <w:t xml:space="preserve">Machine learning capabilities are becoming table stakes in scientific software. Platforms lacking intelligent automation, predictive features, and ML-assisted analysis will face rapid obsolescence.</w:t>
      </w:r>
    </w:p>
    <w:p>
      <w:pPr>
        <w:pStyle w:val="Heading3"/>
        <w:spacing w:after="120" w:before="240" w:line="312"/>
      </w:pPr>
      <w:bookmarkStart w:id="100031" w:name="_Toc100031"/>
      <w:r>
        <w:rPr>
          <w:rFonts w:ascii="Calibri" w:eastAsia="SimHei"/>
          <w:b/>
          <w:bCs/>
          <w:color w:val="1A2330"/>
          <w:sz w:val="24"/>
          <w:szCs w:val="24"/>
        </w:rPr>
        <w:t xml:space="preserve">Collaboration as Competitive Advantage</w:t>
      </w:r>
      <w:bookmarkEnd w:id="100031"/>
    </w:p>
    <w:p>
      <w:pPr>
        <w:spacing w:after="120" w:line="312"/>
        <w:ind w:firstLine="480"/>
        <w:jc w:val="both"/>
      </w:pPr>
      <w:r>
        <w:rPr>
          <w:rFonts w:ascii="Times New Roman" w:eastAsia="Microsoft YaHei"/>
          <w:color w:val="2C3E50"/>
          <w:sz w:val="24"/>
          <w:szCs w:val="24"/>
        </w:rPr>
        <w:t xml:space="preserve">Post-pandemic research norms emphasize cross-institutional collaboration. Tools that facilitate seamless teamwork are strongly preferred over isolated workstation software.</w:t>
      </w:r>
    </w:p>
    <w:p>
      <w:pPr>
        <w:pStyle w:val="Heading3"/>
        <w:spacing w:after="120" w:before="240" w:line="312"/>
      </w:pPr>
      <w:bookmarkStart w:id="100032" w:name="_Toc100032"/>
      <w:r>
        <w:rPr>
          <w:rFonts w:ascii="Calibri" w:eastAsia="SimHei"/>
          <w:b/>
          <w:bCs/>
          <w:color w:val="1A2330"/>
          <w:sz w:val="24"/>
          <w:szCs w:val="24"/>
        </w:rPr>
        <w:t xml:space="preserve">Open Science Movement</w:t>
      </w:r>
      <w:bookmarkEnd w:id="100032"/>
    </w:p>
    <w:p>
      <w:pPr>
        <w:spacing w:after="120" w:line="312"/>
        <w:ind w:firstLine="480"/>
        <w:jc w:val="both"/>
      </w:pPr>
      <w:r>
        <w:rPr>
          <w:rFonts w:ascii="Times New Roman" w:eastAsia="Microsoft YaHei"/>
          <w:color w:val="2C3E50"/>
          <w:sz w:val="24"/>
          <w:szCs w:val="24"/>
        </w:rPr>
        <w:t xml:space="preserve">Funding agencies increasingly mandate open data and reproducible methods. Platforms supporting these requirements gain preferential consideration in grant applications.</w:t>
      </w:r>
    </w:p>
    <w:p>
      <w:pPr>
        <w:pStyle w:val="Heading2"/>
        <w:spacing w:after="160" w:before="300" w:line="312"/>
      </w:pPr>
      <w:bookmarkStart w:id="100033" w:name="_Toc100033"/>
      <w:r>
        <w:rPr>
          <w:rFonts w:ascii="Calibri" w:eastAsia="SimHei"/>
          <w:b/>
          <w:bCs/>
          <w:color w:val="1A2330"/>
          <w:sz w:val="28"/>
          <w:szCs w:val="28"/>
        </w:rPr>
        <w:t xml:space="preserve">3.4 Target Market Segments</w:t>
      </w:r>
      <w:bookmarkEnd w:id="100033"/>
    </w:p>
    <w:p>
      <w:pPr>
        <w:pStyle w:val="Heading3"/>
        <w:spacing w:after="120" w:before="240" w:line="312"/>
      </w:pPr>
      <w:bookmarkStart w:id="100034" w:name="_Toc100034"/>
      <w:r>
        <w:rPr>
          <w:rFonts w:ascii="Calibri" w:eastAsia="SimHei"/>
          <w:b/>
          <w:bCs/>
          <w:color w:val="1A2330"/>
          <w:sz w:val="24"/>
          <w:szCs w:val="24"/>
        </w:rPr>
        <w:t xml:space="preserve">Academic Research ($15B TAM)</w:t>
      </w:r>
      <w:bookmarkEnd w:id="100034"/>
    </w:p>
    <w:p>
      <w:pPr>
        <w:spacing w:after="120" w:line="312"/>
        <w:ind w:firstLine="480"/>
        <w:jc w:val="both"/>
      </w:pPr>
      <w:r>
        <w:rPr>
          <w:rFonts w:ascii="Times New Roman" w:eastAsia="Microsoft YaHei"/>
          <w:color w:val="2C3E50"/>
          <w:sz w:val="24"/>
          <w:szCs w:val="24"/>
        </w:rPr>
        <w:t xml:space="preserve">Universities and research institutes represent our foundational market segment. These users drive adoption through student pipelines, influence industry perceptions, and provide valuable feedback for product development. Price sensitivity is balanced by volume potential and long-term relationship value.</w:t>
      </w:r>
    </w:p>
    <w:p>
      <w:pPr>
        <w:pStyle w:val="Heading3"/>
        <w:spacing w:after="120" w:before="240" w:line="312"/>
      </w:pPr>
      <w:bookmarkStart w:id="100035" w:name="_Toc100035"/>
      <w:r>
        <w:rPr>
          <w:rFonts w:ascii="Calibri" w:eastAsia="SimHei"/>
          <w:b/>
          <w:bCs/>
          <w:color w:val="1A2330"/>
          <w:sz w:val="24"/>
          <w:szCs w:val="24"/>
        </w:rPr>
        <w:t xml:space="preserve">Biotech/Pharma R&amp;D ($18B TAM)</w:t>
      </w:r>
      <w:bookmarkEnd w:id="100035"/>
    </w:p>
    <w:p>
      <w:pPr>
        <w:spacing w:after="120" w:line="312"/>
        <w:ind w:firstLine="480"/>
        <w:jc w:val="both"/>
      </w:pPr>
      <w:r>
        <w:rPr>
          <w:rFonts w:ascii="Times New Roman" w:eastAsia="Microsoft YaHei"/>
          <w:color w:val="2C3E50"/>
          <w:sz w:val="24"/>
          <w:szCs w:val="24"/>
        </w:rPr>
        <w:t xml:space="preserve">Pharmaceutical and biotechnology companies offer the largest revenue per customer opportunity. Their complex workflows, regulatory requirements, and competitive pressures create strong demand for sophisticated platforms. Sales cycles are longer but deal sizes justify dedicated enterprise sales efforts.</w:t>
      </w:r>
    </w:p>
    <w:p>
      <w:pPr>
        <w:pStyle w:val="Heading3"/>
        <w:spacing w:after="120" w:before="240" w:line="312"/>
      </w:pPr>
      <w:bookmarkStart w:id="100036" w:name="_Toc100036"/>
      <w:r>
        <w:rPr>
          <w:rFonts w:ascii="Calibri" w:eastAsia="SimHei"/>
          <w:b/>
          <w:bCs/>
          <w:color w:val="1A2330"/>
          <w:sz w:val="24"/>
          <w:szCs w:val="24"/>
        </w:rPr>
        <w:t xml:space="preserve">Industrial R&amp;D ($8B TAM)</w:t>
      </w:r>
      <w:bookmarkEnd w:id="100036"/>
    </w:p>
    <w:p>
      <w:pPr>
        <w:spacing w:after="120" w:line="312"/>
        <w:ind w:firstLine="480"/>
        <w:jc w:val="both"/>
      </w:pPr>
      <w:r>
        <w:rPr>
          <w:rFonts w:ascii="Times New Roman" w:eastAsia="Microsoft YaHei"/>
          <w:color w:val="2C3E50"/>
          <w:sz w:val="24"/>
          <w:szCs w:val="24"/>
        </w:rPr>
        <w:t xml:space="preserve">Manufacturing, energy, materials science, and other industrial sectors represent significant opportunity. These customers value reliability, scalability, and integration with existing enterprise systems. Decision-making often involves both technical evaluation and procurement processes.</w:t>
      </w:r>
    </w:p>
    <w:p>
      <w:pPr>
        <w:pStyle w:val="Heading3"/>
        <w:spacing w:after="120" w:before="240" w:line="312"/>
      </w:pPr>
      <w:bookmarkStart w:id="100037" w:name="_Toc100037"/>
      <w:r>
        <w:rPr>
          <w:rFonts w:ascii="Calibri" w:eastAsia="SimHei"/>
          <w:b/>
          <w:bCs/>
          <w:color w:val="1A2330"/>
          <w:sz w:val="24"/>
          <w:szCs w:val="24"/>
        </w:rPr>
        <w:t xml:space="preserve">Government/Defense ($4B TAM)</w:t>
      </w:r>
      <w:bookmarkEnd w:id="100037"/>
    </w:p>
    <w:p>
      <w:pPr>
        <w:spacing w:after="120" w:line="312"/>
        <w:ind w:firstLine="480"/>
        <w:jc w:val="both"/>
      </w:pPr>
      <w:r>
        <w:rPr>
          <w:rFonts w:ascii="Times New Roman" w:eastAsia="Microsoft YaHei"/>
          <w:color w:val="2C3E50"/>
          <w:sz w:val="24"/>
          <w:szCs w:val="24"/>
        </w:rPr>
        <w:t xml:space="preserve">Government laboratories and defense contractors require specialized security features, compliance certifications, and sometimes air-gapped deployment options. While sales cycles can be extended, contracts tend to be substantial and multi-year.</w:t>
      </w:r>
    </w:p>
    <w:p>
      <w:pPr>
        <w:pStyle w:val="Heading2"/>
        <w:spacing w:after="160" w:before="300" w:line="312"/>
      </w:pPr>
      <w:bookmarkStart w:id="100038" w:name="_Toc100038"/>
      <w:r>
        <w:rPr>
          <w:rFonts w:ascii="Calibri" w:eastAsia="SimHei"/>
          <w:b/>
          <w:bCs/>
          <w:color w:val="1A2330"/>
          <w:sz w:val="28"/>
          <w:szCs w:val="28"/>
        </w:rPr>
        <w:t xml:space="preserve">3.5 Geographic Analysis</w:t>
      </w:r>
      <w:bookmarkEnd w:id="100038"/>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2%"/>
            <w:shd w:fill="D4875A" w:val="clear"/>
            <w:tcMar>
              <w:top w:type="dxa" w:w="60"/>
              <w:left w:type="dxa" w:w="120"/>
              <w:bottom w:type="dxa" w:w="60"/>
              <w:right w:type="dxa" w:w="120"/>
            </w:tcMar>
          </w:tcPr>
          <w:p>
            <w:r>
              <w:rPr>
                <w:b/>
                <w:bCs/>
                <w:color w:val="FFFFFF"/>
                <w:sz w:val="21"/>
                <w:szCs w:val="21"/>
              </w:rPr>
              <w:t xml:space="preserve">Region</w:t>
            </w:r>
          </w:p>
        </w:tc>
        <w:tc>
          <w:tcPr>
            <w:tcW w:type="pct" w:w="18%"/>
            <w:shd w:fill="D4875A" w:val="clear"/>
            <w:tcMar>
              <w:top w:type="dxa" w:w="60"/>
              <w:left w:type="dxa" w:w="120"/>
              <w:bottom w:type="dxa" w:w="60"/>
              <w:right w:type="dxa" w:w="120"/>
            </w:tcMar>
          </w:tcPr>
          <w:p>
            <w:r>
              <w:rPr>
                <w:b/>
                <w:bCs/>
                <w:color w:val="FFFFFF"/>
                <w:sz w:val="21"/>
                <w:szCs w:val="21"/>
              </w:rPr>
              <w:t xml:space="preserve">Market Share</w:t>
            </w:r>
          </w:p>
        </w:tc>
        <w:tc>
          <w:tcPr>
            <w:tcW w:type="pct" w:w="20%"/>
            <w:shd w:fill="D4875A" w:val="clear"/>
            <w:tcMar>
              <w:top w:type="dxa" w:w="60"/>
              <w:left w:type="dxa" w:w="120"/>
              <w:bottom w:type="dxa" w:w="60"/>
              <w:right w:type="dxa" w:w="120"/>
            </w:tcMar>
          </w:tcPr>
          <w:p>
            <w:r>
              <w:rPr>
                <w:b/>
                <w:bCs/>
                <w:color w:val="FFFFFF"/>
                <w:sz w:val="21"/>
                <w:szCs w:val="21"/>
              </w:rPr>
              <w:t xml:space="preserve">Priority</w:t>
            </w:r>
          </w:p>
        </w:tc>
        <w:tc>
          <w:tcPr>
            <w:tcW w:type="pct" w:w="40%"/>
            <w:shd w:fill="D4875A" w:val="clear"/>
            <w:tcMar>
              <w:top w:type="dxa" w:w="60"/>
              <w:left w:type="dxa" w:w="120"/>
              <w:bottom w:type="dxa" w:w="60"/>
              <w:right w:type="dxa" w:w="120"/>
            </w:tcMar>
          </w:tcPr>
          <w:p>
            <w:r>
              <w:rPr>
                <w:b/>
                <w:bCs/>
                <w:color w:val="FFFFFF"/>
                <w:sz w:val="21"/>
                <w:szCs w:val="21"/>
              </w:rPr>
              <w:t xml:space="preserve">Strategy</w:t>
            </w:r>
          </w:p>
        </w:tc>
      </w:tr>
      <w:tr>
        <w:trPr>
          <w:cantSplit/>
        </w:trPr>
        <w:tc>
          <w:tcPr>
            <w:tcW w:type="pct" w:w="22%"/>
            <w:shd w:fill="F8F0EB" w:val="clear"/>
            <w:tcMar>
              <w:top w:type="dxa" w:w="60"/>
              <w:left w:type="dxa" w:w="120"/>
              <w:bottom w:type="dxa" w:w="60"/>
              <w:right w:type="dxa" w:w="120"/>
            </w:tcMar>
          </w:tcPr>
          <w:p>
            <w:r>
              <w:rPr>
                <w:sz w:val="21"/>
                <w:szCs w:val="21"/>
              </w:rPr>
              <w:t xml:space="preserve">North America</w:t>
            </w:r>
          </w:p>
        </w:tc>
        <w:tc>
          <w:tcPr>
            <w:tcW w:type="pct" w:w="18%"/>
            <w:shd w:fill="F8F0EB" w:val="clear"/>
            <w:tcMar>
              <w:top w:type="dxa" w:w="60"/>
              <w:left w:type="dxa" w:w="120"/>
              <w:bottom w:type="dxa" w:w="60"/>
              <w:right w:type="dxa" w:w="120"/>
            </w:tcMar>
          </w:tcPr>
          <w:p>
            <w:r>
              <w:rPr>
                <w:sz w:val="21"/>
                <w:szCs w:val="21"/>
              </w:rPr>
              <w:t xml:space="preserve">40%</w:t>
            </w:r>
          </w:p>
        </w:tc>
        <w:tc>
          <w:tcPr>
            <w:tcW w:type="pct" w:w="20%"/>
            <w:shd w:fill="F8F0EB" w:val="clear"/>
            <w:tcMar>
              <w:top w:type="dxa" w:w="60"/>
              <w:left w:type="dxa" w:w="120"/>
              <w:bottom w:type="dxa" w:w="60"/>
              <w:right w:type="dxa" w:w="120"/>
            </w:tcMar>
          </w:tcPr>
          <w:p>
            <w:r>
              <w:rPr>
                <w:sz w:val="21"/>
                <w:szCs w:val="21"/>
              </w:rPr>
              <w:t xml:space="preserve">Primary</w:t>
            </w:r>
          </w:p>
        </w:tc>
        <w:tc>
          <w:tcPr>
            <w:tcW w:type="pct" w:w="40%"/>
            <w:shd w:fill="F8F0EB" w:val="clear"/>
            <w:tcMar>
              <w:top w:type="dxa" w:w="60"/>
              <w:left w:type="dxa" w:w="120"/>
              <w:bottom w:type="dxa" w:w="60"/>
              <w:right w:type="dxa" w:w="120"/>
            </w:tcMar>
          </w:tcPr>
          <w:p>
            <w:r>
              <w:rPr>
                <w:sz w:val="21"/>
                <w:szCs w:val="21"/>
              </w:rPr>
              <w:t xml:space="preserve">Direct sales, conferences, partnerships</w:t>
            </w:r>
          </w:p>
        </w:tc>
      </w:tr>
      <w:tr>
        <w:trPr>
          <w:cantSplit/>
        </w:trPr>
        <w:tc>
          <w:tcPr>
            <w:tcW w:type="pct" w:w="22%"/>
            <w:shd w:fill="FFFFFF" w:val="clear"/>
            <w:tcMar>
              <w:top w:type="dxa" w:w="60"/>
              <w:left w:type="dxa" w:w="120"/>
              <w:bottom w:type="dxa" w:w="60"/>
              <w:right w:type="dxa" w:w="120"/>
            </w:tcMar>
          </w:tcPr>
          <w:p>
            <w:r>
              <w:rPr>
                <w:sz w:val="21"/>
                <w:szCs w:val="21"/>
              </w:rPr>
              <w:t xml:space="preserve">Europe</w:t>
            </w:r>
          </w:p>
        </w:tc>
        <w:tc>
          <w:tcPr>
            <w:tcW w:type="pct" w:w="18%"/>
            <w:shd w:fill="FFFFFF" w:val="clear"/>
            <w:tcMar>
              <w:top w:type="dxa" w:w="60"/>
              <w:left w:type="dxa" w:w="120"/>
              <w:bottom w:type="dxa" w:w="60"/>
              <w:right w:type="dxa" w:w="120"/>
            </w:tcMar>
          </w:tcPr>
          <w:p>
            <w:r>
              <w:rPr>
                <w:sz w:val="21"/>
                <w:szCs w:val="21"/>
              </w:rPr>
              <w:t xml:space="preserve">25%</w:t>
            </w:r>
          </w:p>
        </w:tc>
        <w:tc>
          <w:tcPr>
            <w:tcW w:type="pct" w:w="20%"/>
            <w:shd w:fill="FFFFFF" w:val="clear"/>
            <w:tcMar>
              <w:top w:type="dxa" w:w="60"/>
              <w:left w:type="dxa" w:w="120"/>
              <w:bottom w:type="dxa" w:w="60"/>
              <w:right w:type="dxa" w:w="120"/>
            </w:tcMar>
          </w:tcPr>
          <w:p>
            <w:r>
              <w:rPr>
                <w:sz w:val="21"/>
                <w:szCs w:val="21"/>
              </w:rPr>
              <w:t xml:space="preserve">Secondary</w:t>
            </w:r>
          </w:p>
        </w:tc>
        <w:tc>
          <w:tcPr>
            <w:tcW w:type="pct" w:w="40%"/>
            <w:shd w:fill="FFFFFF" w:val="clear"/>
            <w:tcMar>
              <w:top w:type="dxa" w:w="60"/>
              <w:left w:type="dxa" w:w="120"/>
              <w:bottom w:type="dxa" w:w="60"/>
              <w:right w:type="dxa" w:w="120"/>
            </w:tcMar>
          </w:tcPr>
          <w:p>
            <w:r>
              <w:rPr>
                <w:sz w:val="21"/>
                <w:szCs w:val="21"/>
              </w:rPr>
              <w:t xml:space="preserve">GDPR-compliant deployment, regional office</w:t>
            </w:r>
          </w:p>
        </w:tc>
      </w:tr>
      <w:tr>
        <w:trPr>
          <w:cantSplit/>
        </w:trPr>
        <w:tc>
          <w:tcPr>
            <w:tcW w:type="pct" w:w="22%"/>
            <w:shd w:fill="F8F0EB" w:val="clear"/>
            <w:tcMar>
              <w:top w:type="dxa" w:w="60"/>
              <w:left w:type="dxa" w:w="120"/>
              <w:bottom w:type="dxa" w:w="60"/>
              <w:right w:type="dxa" w:w="120"/>
            </w:tcMar>
          </w:tcPr>
          <w:p>
            <w:r>
              <w:rPr>
                <w:sz w:val="21"/>
                <w:szCs w:val="21"/>
              </w:rPr>
              <w:t xml:space="preserve">China</w:t>
            </w:r>
          </w:p>
        </w:tc>
        <w:tc>
          <w:tcPr>
            <w:tcW w:type="pct" w:w="18%"/>
            <w:shd w:fill="F8F0EB" w:val="clear"/>
            <w:tcMar>
              <w:top w:type="dxa" w:w="60"/>
              <w:left w:type="dxa" w:w="120"/>
              <w:bottom w:type="dxa" w:w="60"/>
              <w:right w:type="dxa" w:w="120"/>
            </w:tcMar>
          </w:tcPr>
          <w:p>
            <w:r>
              <w:rPr>
                <w:sz w:val="21"/>
                <w:szCs w:val="21"/>
              </w:rPr>
              <w:t xml:space="preserve">20%</w:t>
            </w:r>
          </w:p>
        </w:tc>
        <w:tc>
          <w:tcPr>
            <w:tcW w:type="pct" w:w="20%"/>
            <w:shd w:fill="F8F0EB" w:val="clear"/>
            <w:tcMar>
              <w:top w:type="dxa" w:w="60"/>
              <w:left w:type="dxa" w:w="120"/>
              <w:bottom w:type="dxa" w:w="60"/>
              <w:right w:type="dxa" w:w="120"/>
            </w:tcMar>
          </w:tcPr>
          <w:p>
            <w:r>
              <w:rPr>
                <w:sz w:val="21"/>
                <w:szCs w:val="21"/>
              </w:rPr>
              <w:t xml:space="preserve">Strategic Priority</w:t>
            </w:r>
          </w:p>
        </w:tc>
        <w:tc>
          <w:tcPr>
            <w:tcW w:type="pct" w:w="40%"/>
            <w:shd w:fill="F8F0EB" w:val="clear"/>
            <w:tcMar>
              <w:top w:type="dxa" w:w="60"/>
              <w:left w:type="dxa" w:w="120"/>
              <w:bottom w:type="dxa" w:w="60"/>
              <w:right w:type="dxa" w:w="120"/>
            </w:tcMar>
          </w:tcPr>
          <w:p>
            <w:r>
              <w:rPr>
                <w:sz w:val="21"/>
                <w:szCs w:val="21"/>
              </w:rPr>
              <w:t xml:space="preserve">Localized version, local partnerships</w:t>
            </w:r>
          </w:p>
        </w:tc>
      </w:tr>
      <w:tr>
        <w:trPr>
          <w:cantSplit/>
        </w:trPr>
        <w:tc>
          <w:tcPr>
            <w:tcW w:type="pct" w:w="22%"/>
            <w:shd w:fill="FFFFFF" w:val="clear"/>
            <w:tcMar>
              <w:top w:type="dxa" w:w="60"/>
              <w:left w:type="dxa" w:w="120"/>
              <w:bottom w:type="dxa" w:w="60"/>
              <w:right w:type="dxa" w:w="120"/>
            </w:tcMar>
          </w:tcPr>
          <w:p>
            <w:r>
              <w:rPr>
                <w:sz w:val="21"/>
                <w:szCs w:val="21"/>
              </w:rPr>
              <w:t xml:space="preserve">Rest of World</w:t>
            </w:r>
          </w:p>
        </w:tc>
        <w:tc>
          <w:tcPr>
            <w:tcW w:type="pct" w:w="18%"/>
            <w:shd w:fill="FFFFFF" w:val="clear"/>
            <w:tcMar>
              <w:top w:type="dxa" w:w="60"/>
              <w:left w:type="dxa" w:w="120"/>
              <w:bottom w:type="dxa" w:w="60"/>
              <w:right w:type="dxa" w:w="120"/>
            </w:tcMar>
          </w:tcPr>
          <w:p>
            <w:r>
              <w:rPr>
                <w:sz w:val="21"/>
                <w:szCs w:val="21"/>
              </w:rPr>
              <w:t xml:space="preserve">15%</w:t>
            </w:r>
          </w:p>
        </w:tc>
        <w:tc>
          <w:tcPr>
            <w:tcW w:type="pct" w:w="20%"/>
            <w:shd w:fill="FFFFFF" w:val="clear"/>
            <w:tcMar>
              <w:top w:type="dxa" w:w="60"/>
              <w:left w:type="dxa" w:w="120"/>
              <w:bottom w:type="dxa" w:w="60"/>
              <w:right w:type="dxa" w:w="120"/>
            </w:tcMar>
          </w:tcPr>
          <w:p>
            <w:r>
              <w:rPr>
                <w:sz w:val="21"/>
                <w:szCs w:val="21"/>
              </w:rPr>
              <w:t xml:space="preserve">Emerging</w:t>
            </w:r>
          </w:p>
        </w:tc>
        <w:tc>
          <w:tcPr>
            <w:tcW w:type="pct" w:w="40%"/>
            <w:shd w:fill="FFFFFF" w:val="clear"/>
            <w:tcMar>
              <w:top w:type="dxa" w:w="60"/>
              <w:left w:type="dxa" w:w="120"/>
              <w:bottom w:type="dxa" w:w="60"/>
              <w:right w:type="dxa" w:w="120"/>
            </w:tcMar>
          </w:tcPr>
          <w:p>
            <w:r>
              <w:rPr>
                <w:sz w:val="21"/>
                <w:szCs w:val="21"/>
              </w:rPr>
              <w:t xml:space="preserve">Channel partners, online-first approach</w:t>
            </w:r>
          </w:p>
        </w:tc>
      </w:tr>
    </w:tbl>
    <w:p>
      <w:pPr>
        <w:spacing w:after="200"/>
      </w:pPr>
    </w:p>
    <w:p>
      <w:pPr>
        <w:pStyle w:val="Heading2"/>
        <w:spacing w:after="160" w:before="300" w:line="312"/>
      </w:pPr>
      <w:bookmarkStart w:id="100039" w:name="_Toc100039"/>
      <w:r>
        <w:rPr>
          <w:rFonts w:ascii="Calibri" w:eastAsia="SimHei"/>
          <w:b/>
          <w:bCs/>
          <w:color w:val="1A2330"/>
          <w:sz w:val="28"/>
          <w:szCs w:val="28"/>
        </w:rPr>
        <w:t xml:space="preserve">3.6 China Market Deep-Dive</w:t>
      </w:r>
      <w:bookmarkEnd w:id="100039"/>
    </w:p>
    <w:p>
      <w:pPr>
        <w:spacing w:after="120" w:line="312"/>
        <w:ind w:firstLine="480"/>
        <w:jc w:val="both"/>
      </w:pPr>
      <w:r>
        <w:rPr>
          <w:rFonts w:ascii="Times New Roman" w:eastAsia="Microsoft YaHei"/>
          <w:color w:val="2C3E50"/>
          <w:sz w:val="24"/>
          <w:szCs w:val="24"/>
        </w:rPr>
        <w:t xml:space="preserve">China represents our most important strategic international opportunity. The country's R&amp;D spending has grown at 10%+ annually, reaching over $500 billion in 2024. Government initiatives like 'Made in China 2025' prioritize domestic innovation in biotechnology, materials science, and artificial intelligence.</w:t>
      </w:r>
    </w:p>
    <w:p>
      <w:pPr>
        <w:spacing w:after="120" w:line="312"/>
        <w:ind w:firstLine="480"/>
        <w:jc w:val="both"/>
      </w:pPr>
      <w:r>
        <w:rPr>
          <w:rFonts w:ascii="Times New Roman" w:eastAsia="Microsoft YaHei"/>
          <w:color w:val="2C3E50"/>
          <w:sz w:val="24"/>
          <w:szCs w:val="24"/>
        </w:rPr>
        <w:t xml:space="preserve">Our China strategy includes: establishing a Beijing-based subsidiary within 24 months; partnering with leading Chinese universities and research institutes; ensuring full compliance with cybersecurity and data localization regulations; offering Chinese language interface and localized documentation; and building relationships with government technology programs.</w:t>
      </w:r>
    </w:p>
    <w:p>
      <w:pPr>
        <w:spacing w:after="120" w:line="312"/>
        <w:ind w:firstLine="480"/>
        <w:jc w:val="both"/>
      </w:pPr>
      <w:r>
        <w:rPr>
          <w:rFonts w:ascii="Times New Roman" w:eastAsia="Microsoft YaHei"/>
          <w:color w:val="2C3E50"/>
          <w:sz w:val="24"/>
          <w:szCs w:val="24"/>
        </w:rPr>
        <w:t xml:space="preserve">Success in China requires deep cultural understanding, patience in relationship-building, and commitment to long-term presence. We view this as a 5-year investment horizon with substantial returns expected in Years 4-5 and beyond.</w:t>
      </w:r>
    </w:p>
    <w:p>
      <w:pPr>
        <w:pStyle w:val="Heading1"/>
        <w:spacing w:after="200" w:before="400" w:line="312"/>
      </w:pPr>
      <w:bookmarkStart w:id="100040" w:name="_Toc100040"/>
      <w:r>
        <w:rPr>
          <w:rFonts w:ascii="Calibri" w:eastAsia="SimHei"/>
          <w:b/>
          <w:bCs/>
          <w:color w:val="1A2330"/>
          <w:sz w:val="32"/>
          <w:szCs w:val="32"/>
        </w:rPr>
        <w:t xml:space="preserve">4. Problem Statement</w:t>
      </w:r>
      <w:bookmarkEnd w:id="100040"/>
    </w:p>
    <w:p>
      <w:pPr>
        <w:pStyle w:val="Heading2"/>
        <w:spacing w:after="160" w:before="300" w:line="312"/>
      </w:pPr>
      <w:bookmarkStart w:id="100041" w:name="_Toc100041"/>
      <w:r>
        <w:rPr>
          <w:rFonts w:ascii="Calibri" w:eastAsia="SimHei"/>
          <w:b/>
          <w:bCs/>
          <w:color w:val="1A2330"/>
          <w:sz w:val="28"/>
          <w:szCs w:val="28"/>
        </w:rPr>
        <w:t xml:space="preserve">4.1 Current State of Scientific Software</w:t>
      </w:r>
      <w:bookmarkEnd w:id="100041"/>
    </w:p>
    <w:p>
      <w:pPr>
        <w:spacing w:after="120" w:line="312"/>
        <w:ind w:firstLine="480"/>
        <w:jc w:val="both"/>
      </w:pPr>
      <w:r>
        <w:rPr>
          <w:rFonts w:ascii="Times New Roman" w:eastAsia="Microsoft YaHei"/>
          <w:color w:val="2C3E50"/>
          <w:sz w:val="24"/>
          <w:szCs w:val="24"/>
        </w:rPr>
        <w:t xml:space="preserve">The scientific software landscape today is characterized by fragmentation, exclusivity, and inefficiency. Researchers must typically cobble together multiple specialized tools, each with its own interface, data format, licensing model, and learning curve. This patchwork approach creates friction at every stage of the research workflow.</w:t>
      </w:r>
    </w:p>
    <w:p>
      <w:pPr>
        <w:spacing w:after="120" w:line="312"/>
        <w:ind w:firstLine="480"/>
        <w:jc w:val="both"/>
      </w:pPr>
      <w:r>
        <w:rPr>
          <w:rFonts w:ascii="Times New Roman" w:eastAsia="Microsoft YaHei"/>
          <w:color w:val="2C3E50"/>
          <w:sz w:val="24"/>
          <w:szCs w:val="24"/>
        </w:rPr>
        <w:t xml:space="preserve">Legacy solutions dominate many domains, with some flagship products tracing their origins to the 1980s and 1990s. While these tools have evolved incrementally, their fundamental architectures were designed for single-user, desktop-centric computing models that poorly match contemporary research practices.</w:t>
      </w:r>
    </w:p>
    <w:p>
      <w:pPr>
        <w:pStyle w:val="Heading2"/>
        <w:spacing w:after="160" w:before="300" w:line="312"/>
      </w:pPr>
      <w:bookmarkStart w:id="100042" w:name="_Toc100042"/>
      <w:r>
        <w:rPr>
          <w:rFonts w:ascii="Calibri" w:eastAsia="SimHei"/>
          <w:b/>
          <w:bCs/>
          <w:color w:val="1A2330"/>
          <w:sz w:val="28"/>
          <w:szCs w:val="28"/>
        </w:rPr>
        <w:t xml:space="preserve">4.2 Pain Points by Stakeholder Type</w:t>
      </w:r>
      <w:bookmarkEnd w:id="100042"/>
    </w:p>
    <w:p>
      <w:pPr>
        <w:pStyle w:val="Heading3"/>
        <w:spacing w:after="120" w:before="240" w:line="312"/>
      </w:pPr>
      <w:bookmarkStart w:id="100043" w:name="_Toc100043"/>
      <w:r>
        <w:rPr>
          <w:rFonts w:ascii="Calibri" w:eastAsia="SimHei"/>
          <w:b/>
          <w:bCs/>
          <w:color w:val="1A2330"/>
          <w:sz w:val="24"/>
          <w:szCs w:val="24"/>
        </w:rPr>
        <w:t xml:space="preserve">Individual Researchers</w:t>
      </w:r>
      <w:bookmarkEnd w:id="100043"/>
    </w:p>
    <w:p>
      <w:pPr>
        <w:pStyle w:val="ListParagraph"/>
        <w:numPr>
          <w:ilvl w:val="0"/>
          <w:numId w:val="1"/>
        </w:numPr>
        <w:spacing w:after="80" w:line="312"/>
      </w:pPr>
      <w:r>
        <w:rPr>
          <w:rFonts w:ascii="Times New Roman" w:eastAsia="Microsoft YaHei"/>
          <w:color w:val="2C3E50"/>
          <w:sz w:val="24"/>
          <w:szCs w:val="24"/>
        </w:rPr>
        <w:t xml:space="preserve">Prohibitive license costs ($5,000-$50,000+ per seat for professional tools)</w:t>
      </w:r>
    </w:p>
    <w:p>
      <w:pPr>
        <w:pStyle w:val="ListParagraph"/>
        <w:numPr>
          <w:ilvl w:val="0"/>
          <w:numId w:val="1"/>
        </w:numPr>
        <w:spacing w:after="80" w:line="312"/>
      </w:pPr>
      <w:r>
        <w:rPr>
          <w:rFonts w:ascii="Times New Roman" w:eastAsia="Microsoft YaHei"/>
          <w:color w:val="2C3E50"/>
          <w:sz w:val="24"/>
          <w:szCs w:val="24"/>
        </w:rPr>
        <w:t xml:space="preserve">Steep learning curves requiring weeks of dedicated training</w:t>
      </w:r>
    </w:p>
    <w:p>
      <w:pPr>
        <w:pStyle w:val="ListParagraph"/>
        <w:numPr>
          <w:ilvl w:val="0"/>
          <w:numId w:val="1"/>
        </w:numPr>
        <w:spacing w:after="80" w:line="312"/>
      </w:pPr>
      <w:r>
        <w:rPr>
          <w:rFonts w:ascii="Times New Roman" w:eastAsia="Microsoft YaHei"/>
          <w:color w:val="2C3E50"/>
          <w:sz w:val="24"/>
          <w:szCs w:val="24"/>
        </w:rPr>
        <w:t xml:space="preserve">Limited access to computational resources for intensive analyses</w:t>
      </w:r>
    </w:p>
    <w:p>
      <w:pPr>
        <w:pStyle w:val="ListParagraph"/>
        <w:numPr>
          <w:ilvl w:val="0"/>
          <w:numId w:val="1"/>
        </w:numPr>
        <w:spacing w:after="80" w:line="312"/>
      </w:pPr>
      <w:r>
        <w:rPr>
          <w:rFonts w:ascii="Times New Roman" w:eastAsia="Microsoft YaHei"/>
          <w:color w:val="2C3E50"/>
          <w:sz w:val="24"/>
          <w:szCs w:val="24"/>
        </w:rPr>
        <w:t xml:space="preserve">Difficulty reproducing own results due to undocumented parameters</w:t>
      </w:r>
    </w:p>
    <w:p>
      <w:pPr>
        <w:pStyle w:val="ListParagraph"/>
        <w:numPr>
          <w:ilvl w:val="0"/>
          <w:numId w:val="1"/>
        </w:numPr>
        <w:spacing w:after="80" w:line="312"/>
      </w:pPr>
      <w:r>
        <w:rPr>
          <w:rFonts w:ascii="Times New Roman" w:eastAsia="Microsoft YaHei"/>
          <w:color w:val="2C3E50"/>
          <w:sz w:val="24"/>
          <w:szCs w:val="24"/>
        </w:rPr>
        <w:t xml:space="preserve">Time wasted on data format conversion between tools</w:t>
      </w:r>
    </w:p>
    <w:p>
      <w:pPr>
        <w:pStyle w:val="Heading3"/>
        <w:spacing w:after="120" w:before="240" w:line="312"/>
      </w:pPr>
      <w:bookmarkStart w:id="100044" w:name="_Toc100044"/>
      <w:r>
        <w:rPr>
          <w:rFonts w:ascii="Calibri" w:eastAsia="SimHei"/>
          <w:b/>
          <w:bCs/>
          <w:color w:val="1A2330"/>
          <w:sz w:val="24"/>
          <w:szCs w:val="24"/>
        </w:rPr>
        <w:t xml:space="preserve">Research Teams &amp; Labs</w:t>
      </w:r>
      <w:bookmarkEnd w:id="100044"/>
    </w:p>
    <w:p>
      <w:pPr>
        <w:pStyle w:val="ListParagraph"/>
        <w:numPr>
          <w:ilvl w:val="0"/>
          <w:numId w:val="1"/>
        </w:numPr>
        <w:spacing w:after="80" w:line="312"/>
      </w:pPr>
      <w:r>
        <w:rPr>
          <w:rFonts w:ascii="Times New Roman" w:eastAsia="Microsoft YaHei"/>
          <w:color w:val="2C3E50"/>
          <w:sz w:val="24"/>
          <w:szCs w:val="24"/>
        </w:rPr>
        <w:t xml:space="preserve">License management overhead and compliance tracking</w:t>
      </w:r>
    </w:p>
    <w:p>
      <w:pPr>
        <w:pStyle w:val="ListParagraph"/>
        <w:numPr>
          <w:ilvl w:val="0"/>
          <w:numId w:val="1"/>
        </w:numPr>
        <w:spacing w:after="80" w:line="312"/>
      </w:pPr>
      <w:r>
        <w:rPr>
          <w:rFonts w:ascii="Times New Roman" w:eastAsia="Microsoft YaHei"/>
          <w:color w:val="2C3E50"/>
          <w:sz w:val="24"/>
          <w:szCs w:val="24"/>
        </w:rPr>
        <w:t xml:space="preserve">Version control challenges for shared projects</w:t>
      </w:r>
    </w:p>
    <w:p>
      <w:pPr>
        <w:pStyle w:val="ListParagraph"/>
        <w:numPr>
          <w:ilvl w:val="0"/>
          <w:numId w:val="1"/>
        </w:numPr>
        <w:spacing w:after="80" w:line="312"/>
      </w:pPr>
      <w:r>
        <w:rPr>
          <w:rFonts w:ascii="Times New Roman" w:eastAsia="Microsoft YaHei"/>
          <w:color w:val="2C3E50"/>
          <w:sz w:val="24"/>
          <w:szCs w:val="24"/>
        </w:rPr>
        <w:t xml:space="preserve">Difficulty standardizing workflows across team members</w:t>
      </w:r>
    </w:p>
    <w:p>
      <w:pPr>
        <w:pStyle w:val="ListParagraph"/>
        <w:numPr>
          <w:ilvl w:val="0"/>
          <w:numId w:val="1"/>
        </w:numPr>
        <w:spacing w:after="80" w:line="312"/>
      </w:pPr>
      <w:r>
        <w:rPr>
          <w:rFonts w:ascii="Times New Roman" w:eastAsia="Microsoft YaHei"/>
          <w:color w:val="2C3E50"/>
          <w:sz w:val="24"/>
          <w:szCs w:val="24"/>
        </w:rPr>
        <w:t xml:space="preserve">Collaboration bottlenecks when sharing intermediate results</w:t>
      </w:r>
    </w:p>
    <w:p>
      <w:pPr>
        <w:pStyle w:val="ListParagraph"/>
        <w:numPr>
          <w:ilvl w:val="0"/>
          <w:numId w:val="1"/>
        </w:numPr>
        <w:spacing w:after="80" w:line="312"/>
      </w:pPr>
      <w:r>
        <w:rPr>
          <w:rFonts w:ascii="Times New Roman" w:eastAsia="Microsoft YaHei"/>
          <w:color w:val="2C3E50"/>
          <w:sz w:val="24"/>
          <w:szCs w:val="24"/>
        </w:rPr>
        <w:t xml:space="preserve">Onboarding delays for new team members</w:t>
      </w:r>
    </w:p>
    <w:p>
      <w:pPr>
        <w:pStyle w:val="Heading3"/>
        <w:spacing w:after="120" w:before="240" w:line="312"/>
      </w:pPr>
      <w:bookmarkStart w:id="100045" w:name="_Toc100045"/>
      <w:r>
        <w:rPr>
          <w:rFonts w:ascii="Calibri" w:eastAsia="SimHei"/>
          <w:b/>
          <w:bCs/>
          <w:color w:val="1A2330"/>
          <w:sz w:val="24"/>
          <w:szCs w:val="24"/>
        </w:rPr>
        <w:t xml:space="preserve">Institutional Leadership</w:t>
      </w:r>
      <w:bookmarkEnd w:id="100045"/>
    </w:p>
    <w:p>
      <w:pPr>
        <w:pStyle w:val="ListParagraph"/>
        <w:numPr>
          <w:ilvl w:val="0"/>
          <w:numId w:val="1"/>
        </w:numPr>
        <w:spacing w:after="80" w:line="312"/>
      </w:pPr>
      <w:r>
        <w:rPr>
          <w:rFonts w:ascii="Times New Roman" w:eastAsia="Microsoft YaHei"/>
          <w:color w:val="2C3E50"/>
          <w:sz w:val="24"/>
          <w:szCs w:val="24"/>
        </w:rPr>
        <w:t xml:space="preserve">Unpredictable total cost of ownership across departments</w:t>
      </w:r>
    </w:p>
    <w:p>
      <w:pPr>
        <w:pStyle w:val="ListParagraph"/>
        <w:numPr>
          <w:ilvl w:val="0"/>
          <w:numId w:val="1"/>
        </w:numPr>
        <w:spacing w:after="80" w:line="312"/>
      </w:pPr>
      <w:r>
        <w:rPr>
          <w:rFonts w:ascii="Times New Roman" w:eastAsia="Microsoft YaHei"/>
          <w:color w:val="2C3E50"/>
          <w:sz w:val="24"/>
          <w:szCs w:val="24"/>
        </w:rPr>
        <w:t xml:space="preserve">Security concerns with scattered data storage</w:t>
      </w:r>
    </w:p>
    <w:p>
      <w:pPr>
        <w:pStyle w:val="ListParagraph"/>
        <w:numPr>
          <w:ilvl w:val="0"/>
          <w:numId w:val="1"/>
        </w:numPr>
        <w:spacing w:after="80" w:line="312"/>
      </w:pPr>
      <w:r>
        <w:rPr>
          <w:rFonts w:ascii="Times New Roman" w:eastAsia="Microsoft YaHei"/>
          <w:color w:val="2C3E50"/>
          <w:sz w:val="24"/>
          <w:szCs w:val="24"/>
        </w:rPr>
        <w:t xml:space="preserve">Vendor lock-in limiting negotiating leverage</w:t>
      </w:r>
    </w:p>
    <w:p>
      <w:pPr>
        <w:pStyle w:val="ListParagraph"/>
        <w:numPr>
          <w:ilvl w:val="0"/>
          <w:numId w:val="1"/>
        </w:numPr>
        <w:spacing w:after="80" w:line="312"/>
      </w:pPr>
      <w:r>
        <w:rPr>
          <w:rFonts w:ascii="Times New Roman" w:eastAsia="Microsoft YaHei"/>
          <w:color w:val="2C3E50"/>
          <w:sz w:val="24"/>
          <w:szCs w:val="24"/>
        </w:rPr>
        <w:t xml:space="preserve">Difficulty assessing ROI on software investments</w:t>
      </w:r>
    </w:p>
    <w:p>
      <w:pPr>
        <w:pStyle w:val="ListParagraph"/>
        <w:numPr>
          <w:ilvl w:val="0"/>
          <w:numId w:val="1"/>
        </w:numPr>
        <w:spacing w:after="80" w:line="312"/>
      </w:pPr>
      <w:r>
        <w:rPr>
          <w:rFonts w:ascii="Times New Roman" w:eastAsia="Microsoft YaHei"/>
          <w:color w:val="2C3E50"/>
          <w:sz w:val="24"/>
          <w:szCs w:val="24"/>
        </w:rPr>
        <w:t xml:space="preserve">Integration challenges with existing IT infrastructure</w:t>
      </w:r>
    </w:p>
    <w:p>
      <w:pPr>
        <w:pStyle w:val="Heading2"/>
        <w:spacing w:after="160" w:before="300" w:line="312"/>
      </w:pPr>
      <w:bookmarkStart w:id="100046" w:name="_Toc100046"/>
      <w:r>
        <w:rPr>
          <w:rFonts w:ascii="Calibri" w:eastAsia="SimHei"/>
          <w:b/>
          <w:bCs/>
          <w:color w:val="1A2330"/>
          <w:sz w:val="28"/>
          <w:szCs w:val="28"/>
        </w:rPr>
        <w:t xml:space="preserve">4.3 Cost of the Problem (Quantified)</w:t>
      </w:r>
      <w:bookmarkEnd w:id="100046"/>
    </w:p>
    <w:p>
      <w:pPr>
        <w:spacing w:after="120" w:line="312"/>
        <w:ind w:firstLine="480"/>
        <w:jc w:val="both"/>
      </w:pPr>
      <w:r>
        <w:rPr>
          <w:rFonts w:ascii="Times New Roman" w:eastAsia="Microsoft YaHei"/>
          <w:color w:val="2C3E50"/>
          <w:sz w:val="24"/>
          <w:szCs w:val="24"/>
        </w:rPr>
        <w:t xml:space="preserve">Our research and industry surveys reveal staggering inefficiencies attributable to current software limitations: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35%"/>
            <w:shd w:fill="D4875A" w:val="clear"/>
            <w:tcMar>
              <w:top w:type="dxa" w:w="60"/>
              <w:left w:type="dxa" w:w="120"/>
              <w:bottom w:type="dxa" w:w="60"/>
              <w:right w:type="dxa" w:w="120"/>
            </w:tcMar>
          </w:tcPr>
          <w:p>
            <w:r>
              <w:rPr>
                <w:b/>
                <w:bCs/>
                <w:color w:val="FFFFFF"/>
                <w:sz w:val="21"/>
                <w:szCs w:val="21"/>
              </w:rPr>
              <w:t xml:space="preserve">Impact Category</w:t>
            </w:r>
          </w:p>
        </w:tc>
        <w:tc>
          <w:tcPr>
            <w:tcW w:type="pct" w:w="30%"/>
            <w:shd w:fill="D4875A" w:val="clear"/>
            <w:tcMar>
              <w:top w:type="dxa" w:w="60"/>
              <w:left w:type="dxa" w:w="120"/>
              <w:bottom w:type="dxa" w:w="60"/>
              <w:right w:type="dxa" w:w="120"/>
            </w:tcMar>
          </w:tcPr>
          <w:p>
            <w:r>
              <w:rPr>
                <w:b/>
                <w:bCs/>
                <w:color w:val="FFFFFF"/>
                <w:sz w:val="21"/>
                <w:szCs w:val="21"/>
              </w:rPr>
              <w:t xml:space="preserve">Estimated Annual Cost</w:t>
            </w:r>
          </w:p>
        </w:tc>
        <w:tc>
          <w:tcPr>
            <w:tcW w:type="pct" w:w="35%"/>
            <w:shd w:fill="D4875A" w:val="clear"/>
            <w:tcMar>
              <w:top w:type="dxa" w:w="60"/>
              <w:left w:type="dxa" w:w="120"/>
              <w:bottom w:type="dxa" w:w="60"/>
              <w:right w:type="dxa" w:w="120"/>
            </w:tcMar>
          </w:tcPr>
          <w:p>
            <w:r>
              <w:rPr>
                <w:b/>
                <w:bCs/>
                <w:color w:val="FFFFFF"/>
                <w:sz w:val="21"/>
                <w:szCs w:val="21"/>
              </w:rPr>
              <w:t xml:space="preserve">Source Basis</w:t>
            </w:r>
          </w:p>
        </w:tc>
      </w:tr>
      <w:tr>
        <w:trPr>
          <w:cantSplit/>
        </w:trPr>
        <w:tc>
          <w:tcPr>
            <w:tcW w:type="pct" w:w="35%"/>
            <w:shd w:fill="F8F0EB" w:val="clear"/>
            <w:tcMar>
              <w:top w:type="dxa" w:w="60"/>
              <w:left w:type="dxa" w:w="120"/>
              <w:bottom w:type="dxa" w:w="60"/>
              <w:right w:type="dxa" w:w="120"/>
            </w:tcMar>
          </w:tcPr>
          <w:p>
            <w:r>
              <w:rPr>
                <w:sz w:val="21"/>
                <w:szCs w:val="21"/>
              </w:rPr>
              <w:t xml:space="preserve">Lost researcher productivity</w:t>
            </w:r>
          </w:p>
        </w:tc>
        <w:tc>
          <w:tcPr>
            <w:tcW w:type="pct" w:w="30%"/>
            <w:shd w:fill="F8F0EB" w:val="clear"/>
            <w:tcMar>
              <w:top w:type="dxa" w:w="60"/>
              <w:left w:type="dxa" w:w="120"/>
              <w:bottom w:type="dxa" w:w="60"/>
              <w:right w:type="dxa" w:w="120"/>
            </w:tcMar>
          </w:tcPr>
          <w:p>
            <w:r>
              <w:rPr>
                <w:sz w:val="21"/>
                <w:szCs w:val="21"/>
              </w:rPr>
              <w:t xml:space="preserve">$12B globally</w:t>
            </w:r>
          </w:p>
        </w:tc>
        <w:tc>
          <w:tcPr>
            <w:tcW w:type="pct" w:w="35%"/>
            <w:shd w:fill="F8F0EB" w:val="clear"/>
            <w:tcMar>
              <w:top w:type="dxa" w:w="60"/>
              <w:left w:type="dxa" w:w="120"/>
              <w:bottom w:type="dxa" w:w="60"/>
              <w:right w:type="dxa" w:w="120"/>
            </w:tcMar>
          </w:tcPr>
          <w:p>
            <w:r>
              <w:rPr>
                <w:sz w:val="21"/>
                <w:szCs w:val="21"/>
              </w:rPr>
              <w:t xml:space="preserve">Survey extrapolation</w:t>
            </w:r>
          </w:p>
        </w:tc>
      </w:tr>
      <w:tr>
        <w:trPr>
          <w:cantSplit/>
        </w:trPr>
        <w:tc>
          <w:tcPr>
            <w:tcW w:type="pct" w:w="35%"/>
            <w:shd w:fill="FFFFFF" w:val="clear"/>
            <w:tcMar>
              <w:top w:type="dxa" w:w="60"/>
              <w:left w:type="dxa" w:w="120"/>
              <w:bottom w:type="dxa" w:w="60"/>
              <w:right w:type="dxa" w:w="120"/>
            </w:tcMar>
          </w:tcPr>
          <w:p>
            <w:r>
              <w:rPr>
                <w:sz w:val="21"/>
                <w:szCs w:val="21"/>
              </w:rPr>
              <w:t xml:space="preserve">Redundant license spending</w:t>
            </w:r>
          </w:p>
        </w:tc>
        <w:tc>
          <w:tcPr>
            <w:tcW w:type="pct" w:w="30%"/>
            <w:shd w:fill="FFFFFF" w:val="clear"/>
            <w:tcMar>
              <w:top w:type="dxa" w:w="60"/>
              <w:left w:type="dxa" w:w="120"/>
              <w:bottom w:type="dxa" w:w="60"/>
              <w:right w:type="dxa" w:w="120"/>
            </w:tcMar>
          </w:tcPr>
          <w:p>
            <w:r>
              <w:rPr>
                <w:sz w:val="21"/>
                <w:szCs w:val="21"/>
              </w:rPr>
              <w:t xml:space="preserve">$4B globally</w:t>
            </w:r>
          </w:p>
        </w:tc>
        <w:tc>
          <w:tcPr>
            <w:tcW w:type="pct" w:w="35%"/>
            <w:shd w:fill="FFFFFF" w:val="clear"/>
            <w:tcMar>
              <w:top w:type="dxa" w:w="60"/>
              <w:left w:type="dxa" w:w="120"/>
              <w:bottom w:type="dxa" w:w="60"/>
              <w:right w:type="dxa" w:w="120"/>
            </w:tcMar>
          </w:tcPr>
          <w:p>
            <w:r>
              <w:rPr>
                <w:sz w:val="21"/>
                <w:szCs w:val="21"/>
              </w:rPr>
              <w:t xml:space="preserve">Industry benchmarking</w:t>
            </w:r>
          </w:p>
        </w:tc>
      </w:tr>
      <w:tr>
        <w:trPr>
          <w:cantSplit/>
        </w:trPr>
        <w:tc>
          <w:tcPr>
            <w:tcW w:type="pct" w:w="35%"/>
            <w:shd w:fill="F8F0EB" w:val="clear"/>
            <w:tcMar>
              <w:top w:type="dxa" w:w="60"/>
              <w:left w:type="dxa" w:w="120"/>
              <w:bottom w:type="dxa" w:w="60"/>
              <w:right w:type="dxa" w:w="120"/>
            </w:tcMar>
          </w:tcPr>
          <w:p>
            <w:r>
              <w:rPr>
                <w:sz w:val="21"/>
                <w:szCs w:val="21"/>
              </w:rPr>
              <w:t xml:space="preserve">Failed reproduction attempts</w:t>
            </w:r>
          </w:p>
        </w:tc>
        <w:tc>
          <w:tcPr>
            <w:tcW w:type="pct" w:w="30%"/>
            <w:shd w:fill="F8F0EB" w:val="clear"/>
            <w:tcMar>
              <w:top w:type="dxa" w:w="60"/>
              <w:left w:type="dxa" w:w="120"/>
              <w:bottom w:type="dxa" w:w="60"/>
              <w:right w:type="dxa" w:w="120"/>
            </w:tcMar>
          </w:tcPr>
          <w:p>
            <w:r>
              <w:rPr>
                <w:sz w:val="21"/>
                <w:szCs w:val="21"/>
              </w:rPr>
              <w:t xml:space="preserve">$3B globally</w:t>
            </w:r>
          </w:p>
        </w:tc>
        <w:tc>
          <w:tcPr>
            <w:tcW w:type="pct" w:w="35%"/>
            <w:shd w:fill="F8F0EB" w:val="clear"/>
            <w:tcMar>
              <w:top w:type="dxa" w:w="60"/>
              <w:left w:type="dxa" w:w="120"/>
              <w:bottom w:type="dxa" w:w="60"/>
              <w:right w:type="dxa" w:w="120"/>
            </w:tcMar>
          </w:tcPr>
          <w:p>
            <w:r>
              <w:rPr>
                <w:sz w:val="21"/>
                <w:szCs w:val="21"/>
              </w:rPr>
              <w:t xml:space="preserve">Published estimates</w:t>
            </w:r>
          </w:p>
        </w:tc>
      </w:tr>
      <w:tr>
        <w:trPr>
          <w:cantSplit/>
        </w:trPr>
        <w:tc>
          <w:tcPr>
            <w:tcW w:type="pct" w:w="35%"/>
            <w:shd w:fill="FFFFFF" w:val="clear"/>
            <w:tcMar>
              <w:top w:type="dxa" w:w="60"/>
              <w:left w:type="dxa" w:w="120"/>
              <w:bottom w:type="dxa" w:w="60"/>
              <w:right w:type="dxa" w:w="120"/>
            </w:tcMar>
          </w:tcPr>
          <w:p>
            <w:r>
              <w:rPr>
                <w:sz w:val="21"/>
                <w:szCs w:val="21"/>
              </w:rPr>
              <w:t xml:space="preserve">Extended time-to-discovery</w:t>
            </w:r>
          </w:p>
        </w:tc>
        <w:tc>
          <w:tcPr>
            <w:tcW w:type="pct" w:w="30%"/>
            <w:shd w:fill="FFFFFF" w:val="clear"/>
            <w:tcMar>
              <w:top w:type="dxa" w:w="60"/>
              <w:left w:type="dxa" w:w="120"/>
              <w:bottom w:type="dxa" w:w="60"/>
              <w:right w:type="dxa" w:w="120"/>
            </w:tcMar>
          </w:tcPr>
          <w:p>
            <w:r>
              <w:rPr>
                <w:sz w:val="21"/>
                <w:szCs w:val="21"/>
              </w:rPr>
              <w:t xml:space="preserve">$8B globally</w:t>
            </w:r>
          </w:p>
        </w:tc>
        <w:tc>
          <w:tcPr>
            <w:tcW w:type="pct" w:w="35%"/>
            <w:shd w:fill="FFFFFF" w:val="clear"/>
            <w:tcMar>
              <w:top w:type="dxa" w:w="60"/>
              <w:left w:type="dxa" w:w="120"/>
              <w:bottom w:type="dxa" w:w="60"/>
              <w:right w:type="dxa" w:w="120"/>
            </w:tcMar>
          </w:tcPr>
          <w:p>
            <w:r>
              <w:rPr>
                <w:sz w:val="21"/>
                <w:szCs w:val="21"/>
              </w:rPr>
              <w:t xml:space="preserve">Opportunity cost model</w:t>
            </w:r>
          </w:p>
        </w:tc>
      </w:tr>
      <w:tr>
        <w:trPr>
          <w:cantSplit/>
        </w:trPr>
        <w:tc>
          <w:tcPr>
            <w:tcW w:type="pct" w:w="35%"/>
            <w:shd w:fill="F8F0EB" w:val="clear"/>
            <w:tcMar>
              <w:top w:type="dxa" w:w="60"/>
              <w:left w:type="dxa" w:w="120"/>
              <w:bottom w:type="dxa" w:w="60"/>
              <w:right w:type="dxa" w:w="120"/>
            </w:tcMar>
          </w:tcPr>
          <w:p>
            <w:r>
              <w:rPr>
                <w:sz w:val="21"/>
                <w:szCs w:val="21"/>
              </w:rPr>
              <w:t xml:space="preserve">Collaboration friction losses</w:t>
            </w:r>
          </w:p>
        </w:tc>
        <w:tc>
          <w:tcPr>
            <w:tcW w:type="pct" w:w="30%"/>
            <w:shd w:fill="F8F0EB" w:val="clear"/>
            <w:tcMar>
              <w:top w:type="dxa" w:w="60"/>
              <w:left w:type="dxa" w:w="120"/>
              <w:bottom w:type="dxa" w:w="60"/>
              <w:right w:type="dxa" w:w="120"/>
            </w:tcMar>
          </w:tcPr>
          <w:p>
            <w:r>
              <w:rPr>
                <w:sz w:val="21"/>
                <w:szCs w:val="21"/>
              </w:rPr>
              <w:t xml:space="preserve">$2B globally</w:t>
            </w:r>
          </w:p>
        </w:tc>
        <w:tc>
          <w:tcPr>
            <w:tcW w:type="pct" w:w="35%"/>
            <w:shd w:fill="F8F0EB" w:val="clear"/>
            <w:tcMar>
              <w:top w:type="dxa" w:w="60"/>
              <w:left w:type="dxa" w:w="120"/>
              <w:bottom w:type="dxa" w:w="60"/>
              <w:right w:type="dxa" w:w="120"/>
            </w:tcMar>
          </w:tcPr>
          <w:p>
            <w:r>
              <w:rPr>
                <w:sz w:val="21"/>
                <w:szCs w:val="21"/>
              </w:rPr>
              <w:t xml:space="preserve">Survey extrapolation</w:t>
            </w:r>
          </w:p>
        </w:tc>
      </w:tr>
    </w:tbl>
    <w:p>
      <w:pPr>
        <w:spacing w:after="200"/>
      </w:pPr>
    </w:p>
    <w:p>
      <w:pPr>
        <w:spacing w:after="120" w:line="312"/>
        <w:ind w:firstLine="480"/>
        <w:jc w:val="both"/>
      </w:pPr>
      <w:r>
        <w:rPr>
          <w:rFonts w:ascii="Times New Roman" w:eastAsia="Microsoft YaHei"/>
          <w:color w:val="2C3E50"/>
          <w:sz w:val="24"/>
          <w:szCs w:val="24"/>
        </w:rPr>
        <w:t xml:space="preserve">For a typical mid-sized research lab with 50 researchers, we estimate annual software-related inefficiency costs exceeding $750,000 in direct expenses and lost productivity. This represents approximately 15-20% of total research operating budgets.</w:t>
      </w:r>
    </w:p>
    <w:p>
      <w:pPr>
        <w:pStyle w:val="Heading2"/>
        <w:spacing w:after="160" w:before="300" w:line="312"/>
      </w:pPr>
      <w:bookmarkStart w:id="100047" w:name="_Toc100047"/>
      <w:r>
        <w:rPr>
          <w:rFonts w:ascii="Calibri" w:eastAsia="SimHei"/>
          <w:b/>
          <w:bCs/>
          <w:color w:val="1A2330"/>
          <w:sz w:val="28"/>
          <w:szCs w:val="28"/>
        </w:rPr>
        <w:t xml:space="preserve">4.4 Market Validation Evidence</w:t>
      </w:r>
      <w:bookmarkEnd w:id="100047"/>
    </w:p>
    <w:p>
      <w:pPr>
        <w:spacing w:after="120" w:line="312"/>
        <w:ind w:firstLine="480"/>
        <w:jc w:val="both"/>
      </w:pPr>
      <w:r>
        <w:rPr>
          <w:rFonts w:ascii="Times New Roman" w:eastAsia="Microsoft YaHei"/>
          <w:color w:val="2C3E50"/>
          <w:sz w:val="24"/>
          <w:szCs w:val="24"/>
        </w:rPr>
        <w:t xml:space="preserve">Strong evidence supports the market need for AETH-1:</w:t>
      </w:r>
    </w:p>
    <w:p>
      <w:pPr>
        <w:pStyle w:val="ListParagraph"/>
        <w:numPr>
          <w:ilvl w:val="0"/>
          <w:numId w:val="1"/>
        </w:numPr>
        <w:spacing w:after="80" w:line="312"/>
      </w:pPr>
      <w:r>
        <w:rPr>
          <w:rFonts w:ascii="Times New Roman" w:eastAsia="Microsoft YaHei"/>
          <w:color w:val="2C3E50"/>
          <w:sz w:val="24"/>
          <w:szCs w:val="24"/>
        </w:rPr>
        <w:t xml:space="preserve">Interviews with 150+ researchers across 12 countries confirming pain points</w:t>
      </w:r>
    </w:p>
    <w:p>
      <w:pPr>
        <w:pStyle w:val="ListParagraph"/>
        <w:numPr>
          <w:ilvl w:val="0"/>
          <w:numId w:val="1"/>
        </w:numPr>
        <w:spacing w:after="80" w:line="312"/>
      </w:pPr>
      <w:r>
        <w:rPr>
          <w:rFonts w:ascii="Times New Roman" w:eastAsia="Microsoft YaHei"/>
          <w:color w:val="2C3E50"/>
          <w:sz w:val="24"/>
          <w:szCs w:val="24"/>
        </w:rPr>
        <w:t xml:space="preserve">Pilot program with 3 universities showing 40% productivity improvement</w:t>
      </w:r>
    </w:p>
    <w:p>
      <w:pPr>
        <w:pStyle w:val="ListParagraph"/>
        <w:numPr>
          <w:ilvl w:val="0"/>
          <w:numId w:val="1"/>
        </w:numPr>
        <w:spacing w:after="80" w:line="312"/>
      </w:pPr>
      <w:r>
        <w:rPr>
          <w:rFonts w:ascii="Times New Roman" w:eastAsia="Microsoft YaHei"/>
          <w:color w:val="2C3E50"/>
          <w:sz w:val="24"/>
          <w:szCs w:val="24"/>
        </w:rPr>
        <w:t xml:space="preserve">Waitlist of 2,000+ researchers expressing interest in beta access</w:t>
      </w:r>
    </w:p>
    <w:p>
      <w:pPr>
        <w:pStyle w:val="ListParagraph"/>
        <w:numPr>
          <w:ilvl w:val="0"/>
          <w:numId w:val="1"/>
        </w:numPr>
        <w:spacing w:after="80" w:line="312"/>
      </w:pPr>
      <w:r>
        <w:rPr>
          <w:rFonts w:ascii="Times New Roman" w:eastAsia="Microsoft YaHei"/>
          <w:color w:val="2C3E50"/>
          <w:sz w:val="24"/>
          <w:szCs w:val="24"/>
        </w:rPr>
        <w:t xml:space="preserve">Competitor analysis revealing gaps in usability and accessibility</w:t>
      </w:r>
    </w:p>
    <w:p>
      <w:pPr>
        <w:pStyle w:val="ListParagraph"/>
        <w:numPr>
          <w:ilvl w:val="0"/>
          <w:numId w:val="1"/>
        </w:numPr>
        <w:spacing w:after="80" w:line="312"/>
      </w:pPr>
      <w:r>
        <w:rPr>
          <w:rFonts w:ascii="Times New Roman" w:eastAsia="Microsoft YaHei"/>
          <w:color w:val="2C3E50"/>
          <w:sz w:val="24"/>
          <w:szCs w:val="24"/>
        </w:rPr>
        <w:t xml:space="preserve">Industry analyst reports projecting 15%+ annual market growth</w:t>
      </w:r>
    </w:p>
    <w:p>
      <w:pPr>
        <w:pStyle w:val="ListParagraph"/>
        <w:numPr>
          <w:ilvl w:val="0"/>
          <w:numId w:val="1"/>
        </w:numPr>
        <w:spacing w:after="80" w:line="312"/>
      </w:pPr>
      <w:r>
        <w:rPr>
          <w:rFonts w:ascii="Times New Roman" w:eastAsia="Microsoft YaHei"/>
          <w:color w:val="2C3E50"/>
          <w:sz w:val="24"/>
          <w:szCs w:val="24"/>
        </w:rPr>
        <w:t xml:space="preserve">Grant funding trends favoring open, reproducible research tools</w:t>
      </w:r>
    </w:p>
    <w:p>
      <w:pPr>
        <w:pStyle w:val="Heading1"/>
        <w:spacing w:after="200" w:before="400" w:line="312"/>
      </w:pPr>
      <w:bookmarkStart w:id="100048" w:name="_Toc100048"/>
      <w:r>
        <w:rPr>
          <w:rFonts w:ascii="Calibri" w:eastAsia="SimHei"/>
          <w:b/>
          <w:bCs/>
          <w:color w:val="1A2330"/>
          <w:sz w:val="32"/>
          <w:szCs w:val="32"/>
        </w:rPr>
        <w:t xml:space="preserve">5. Solution - The AETH-1 Platform</w:t>
      </w:r>
      <w:bookmarkEnd w:id="100048"/>
    </w:p>
    <w:p>
      <w:pPr>
        <w:pStyle w:val="Heading2"/>
        <w:spacing w:after="160" w:before="300" w:line="312"/>
      </w:pPr>
      <w:bookmarkStart w:id="100049" w:name="_Toc100049"/>
      <w:r>
        <w:rPr>
          <w:rFonts w:ascii="Calibri" w:eastAsia="SimHei"/>
          <w:b/>
          <w:bCs/>
          <w:color w:val="1A2330"/>
          <w:sz w:val="28"/>
          <w:szCs w:val="28"/>
        </w:rPr>
        <w:t xml:space="preserve">5.1 Product Overview</w:t>
      </w:r>
      <w:bookmarkEnd w:id="100049"/>
    </w:p>
    <w:p>
      <w:pPr>
        <w:spacing w:after="120" w:line="312"/>
        <w:ind w:firstLine="480"/>
        <w:jc w:val="both"/>
      </w:pPr>
      <w:r>
        <w:rPr>
          <w:rFonts w:ascii="Times New Roman" w:eastAsia="Microsoft YaHei"/>
          <w:color w:val="2C3E50"/>
          <w:sz w:val="24"/>
          <w:szCs w:val="24"/>
        </w:rPr>
        <w:t xml:space="preserve">AETH-1 is a cloud-native scientific computing platform designed from the ground up for modern research workflows. Unlike legacy tools retrofitted for cloud environments, AETH-1 was conceived as a distributed system, leveraging contemporary architecture patterns to deliver performance, reliability, and user experience that established competitors cannot match.</w:t>
      </w:r>
    </w:p>
    <w:p>
      <w:pPr>
        <w:spacing w:after="120" w:line="312"/>
        <w:ind w:firstLine="480"/>
        <w:jc w:val="both"/>
      </w:pPr>
      <w:r>
        <w:rPr>
          <w:rFonts w:ascii="Times New Roman" w:eastAsia="Microsoft YaHei"/>
          <w:color w:val="2C3E50"/>
          <w:sz w:val="24"/>
          <w:szCs w:val="24"/>
        </w:rPr>
        <w:t xml:space="preserve">The platform provides a unified environment where researchers can: import and preprocess diverse data types; perform statistical analysis and visualization; run simulations and molecular modeling; apply machine learning algorithms; collaborate with team members in real-time; document methods and ensure reproducibility; and publish results with integrated reporting tools.</w:t>
      </w:r>
    </w:p>
    <w:p>
      <w:pPr>
        <w:pStyle w:val="Heading2"/>
        <w:spacing w:after="160" w:before="300" w:line="312"/>
      </w:pPr>
      <w:bookmarkStart w:id="100050" w:name="_Toc100050"/>
      <w:r>
        <w:rPr>
          <w:rFonts w:ascii="Calibri" w:eastAsia="SimHei"/>
          <w:b/>
          <w:bCs/>
          <w:color w:val="1A2330"/>
          <w:sz w:val="28"/>
          <w:szCs w:val="28"/>
        </w:rPr>
        <w:t xml:space="preserve">5.2 Key Features and Capabilities</w:t>
      </w:r>
      <w:bookmarkEnd w:id="100050"/>
    </w:p>
    <w:p>
      <w:pPr>
        <w:pStyle w:val="Heading3"/>
        <w:spacing w:after="120" w:before="240" w:line="312"/>
      </w:pPr>
      <w:bookmarkStart w:id="100051" w:name="_Toc100051"/>
      <w:r>
        <w:rPr>
          <w:rFonts w:ascii="Calibri" w:eastAsia="SimHei"/>
          <w:b/>
          <w:bCs/>
          <w:color w:val="1A2330"/>
          <w:sz w:val="24"/>
          <w:szCs w:val="24"/>
        </w:rPr>
        <w:t xml:space="preserve">Unified Workspace</w:t>
      </w:r>
      <w:bookmarkEnd w:id="100051"/>
    </w:p>
    <w:p>
      <w:pPr>
        <w:spacing w:after="120" w:line="312"/>
        <w:ind w:firstLine="480"/>
        <w:jc w:val="both"/>
      </w:pPr>
      <w:r>
        <w:rPr>
          <w:rFonts w:ascii="Times New Roman" w:eastAsia="Microsoft YaHei"/>
          <w:color w:val="2C3E50"/>
          <w:sz w:val="24"/>
          <w:szCs w:val="24"/>
        </w:rPr>
        <w:t xml:space="preserve">A single interface supporting multiple scientific disciplines eliminates context-switching overhead. Researchers stay focused on science rather than tool management.</w:t>
      </w:r>
    </w:p>
    <w:p>
      <w:pPr>
        <w:pStyle w:val="Heading3"/>
        <w:spacing w:after="120" w:before="240" w:line="312"/>
      </w:pPr>
      <w:bookmarkStart w:id="100052" w:name="_Toc100052"/>
      <w:r>
        <w:rPr>
          <w:rFonts w:ascii="Calibri" w:eastAsia="SimHei"/>
          <w:b/>
          <w:bCs/>
          <w:color w:val="1A2330"/>
          <w:sz w:val="24"/>
          <w:szCs w:val="24"/>
        </w:rPr>
        <w:t xml:space="preserve">Intelligent Automation</w:t>
      </w:r>
      <w:bookmarkEnd w:id="100052"/>
    </w:p>
    <w:p>
      <w:pPr>
        <w:spacing w:after="120" w:line="312"/>
        <w:ind w:firstLine="480"/>
        <w:jc w:val="both"/>
      </w:pPr>
      <w:r>
        <w:rPr>
          <w:rFonts w:ascii="Times New Roman" w:eastAsia="Microsoft YaHei"/>
          <w:color w:val="2C3E50"/>
          <w:sz w:val="24"/>
          <w:szCs w:val="24"/>
        </w:rPr>
        <w:t xml:space="preserve">AI-powered features suggest appropriate analyses, detect anomalies, automate repetitive tasks, and learn from user behavior to improve recommendations over time.</w:t>
      </w:r>
    </w:p>
    <w:p>
      <w:pPr>
        <w:pStyle w:val="Heading3"/>
        <w:spacing w:after="120" w:before="240" w:line="312"/>
      </w:pPr>
      <w:bookmarkStart w:id="100053" w:name="_Toc100053"/>
      <w:r>
        <w:rPr>
          <w:rFonts w:ascii="Calibri" w:eastAsia="SimHei"/>
          <w:b/>
          <w:bCs/>
          <w:color w:val="1A2330"/>
          <w:sz w:val="24"/>
          <w:szCs w:val="24"/>
        </w:rPr>
        <w:t xml:space="preserve">Collaboration Suite</w:t>
      </w:r>
      <w:bookmarkEnd w:id="100053"/>
    </w:p>
    <w:p>
      <w:pPr>
        <w:spacing w:after="120" w:line="312"/>
        <w:ind w:firstLine="480"/>
        <w:jc w:val="both"/>
      </w:pPr>
      <w:r>
        <w:rPr>
          <w:rFonts w:ascii="Times New Roman" w:eastAsia="Microsoft YaHei"/>
          <w:color w:val="2C3E50"/>
          <w:sz w:val="24"/>
          <w:szCs w:val="24"/>
        </w:rPr>
        <w:t xml:space="preserve">Real-time co-editing, shared notebooks, comment threads, activity feeds, and permission management enable seamless teamwork regardless of physical location.</w:t>
      </w:r>
    </w:p>
    <w:p>
      <w:pPr>
        <w:pStyle w:val="Heading3"/>
        <w:spacing w:after="120" w:before="240" w:line="312"/>
      </w:pPr>
      <w:bookmarkStart w:id="100054" w:name="_Toc100054"/>
      <w:r>
        <w:rPr>
          <w:rFonts w:ascii="Calibri" w:eastAsia="SimHei"/>
          <w:b/>
          <w:bCs/>
          <w:color w:val="1A2330"/>
          <w:sz w:val="24"/>
          <w:szCs w:val="24"/>
        </w:rPr>
        <w:t xml:space="preserve">Compute Orchestrator</w:t>
      </w:r>
      <w:bookmarkEnd w:id="100054"/>
    </w:p>
    <w:p>
      <w:pPr>
        <w:spacing w:after="120" w:line="312"/>
        <w:ind w:firstLine="480"/>
        <w:jc w:val="both"/>
      </w:pPr>
      <w:r>
        <w:rPr>
          <w:rFonts w:ascii="Times New Roman" w:eastAsia="Microsoft YaHei"/>
          <w:color w:val="2C3E50"/>
          <w:sz w:val="24"/>
          <w:szCs w:val="24"/>
        </w:rPr>
        <w:t xml:space="preserve">Transparent workload distribution across available resources optimizes cost and performance. Users simply specify requirements; the platform handles execution details.</w:t>
      </w:r>
    </w:p>
    <w:p>
      <w:pPr>
        <w:pStyle w:val="Heading3"/>
        <w:spacing w:after="120" w:before="240" w:line="312"/>
      </w:pPr>
      <w:bookmarkStart w:id="100055" w:name="_Toc100055"/>
      <w:r>
        <w:rPr>
          <w:rFonts w:ascii="Calibri" w:eastAsia="SimHei"/>
          <w:b/>
          <w:bCs/>
          <w:color w:val="1A2330"/>
          <w:sz w:val="24"/>
          <w:szCs w:val="24"/>
        </w:rPr>
        <w:t xml:space="preserve">Reproducibility Engine</w:t>
      </w:r>
      <w:bookmarkEnd w:id="100055"/>
    </w:p>
    <w:p>
      <w:pPr>
        <w:spacing w:after="120" w:line="312"/>
        <w:ind w:firstLine="480"/>
        <w:jc w:val="both"/>
      </w:pPr>
      <w:r>
        <w:rPr>
          <w:rFonts w:ascii="Times New Roman" w:eastAsia="Microsoft YaHei"/>
          <w:color w:val="2C3E50"/>
          <w:sz w:val="24"/>
          <w:szCs w:val="24"/>
        </w:rPr>
        <w:t xml:space="preserve">Automatic capture of parameters, data versions, environment specifications, and computational provenance ensures every result can be faithfully reproduced.</w:t>
      </w:r>
    </w:p>
    <w:p>
      <w:pPr>
        <w:pStyle w:val="Heading3"/>
        <w:spacing w:after="120" w:before="240" w:line="312"/>
      </w:pPr>
      <w:bookmarkStart w:id="100056" w:name="_Toc100056"/>
      <w:r>
        <w:rPr>
          <w:rFonts w:ascii="Calibri" w:eastAsia="SimHei"/>
          <w:b/>
          <w:bCs/>
          <w:color w:val="1A2330"/>
          <w:sz w:val="24"/>
          <w:szCs w:val="24"/>
        </w:rPr>
        <w:t xml:space="preserve">Integration Hub</w:t>
      </w:r>
      <w:bookmarkEnd w:id="100056"/>
    </w:p>
    <w:p>
      <w:pPr>
        <w:spacing w:after="120" w:line="312"/>
        <w:ind w:firstLine="480"/>
        <w:jc w:val="both"/>
      </w:pPr>
      <w:r>
        <w:rPr>
          <w:rFonts w:ascii="Times New Roman" w:eastAsia="Microsoft YaHei"/>
          <w:color w:val="2C3E50"/>
          <w:sz w:val="24"/>
          <w:szCs w:val="24"/>
        </w:rPr>
        <w:t xml:space="preserve">REST APIs, Python/R/MATLAB SDKs, and plugin architecture enable connection to existing instruments, databases, and organizational systems.</w:t>
      </w:r>
    </w:p>
    <w:p>
      <w:pPr>
        <w:pStyle w:val="Heading2"/>
        <w:spacing w:after="160" w:before="300" w:line="312"/>
      </w:pPr>
      <w:bookmarkStart w:id="100057" w:name="_Toc100057"/>
      <w:r>
        <w:rPr>
          <w:rFonts w:ascii="Calibri" w:eastAsia="SimHei"/>
          <w:b/>
          <w:bCs/>
          <w:color w:val="1A2330"/>
          <w:sz w:val="28"/>
          <w:szCs w:val="28"/>
        </w:rPr>
        <w:t xml:space="preserve">5.3 User Experience Walkthrough</w:t>
      </w:r>
      <w:bookmarkEnd w:id="100057"/>
    </w:p>
    <w:p>
      <w:pPr>
        <w:spacing w:after="120" w:line="312"/>
        <w:ind w:firstLine="480"/>
        <w:jc w:val="both"/>
      </w:pPr>
      <w:r>
        <w:rPr>
          <w:rFonts w:ascii="Times New Roman" w:eastAsia="Microsoft YaHei"/>
          <w:color w:val="2C3E50"/>
          <w:sz w:val="24"/>
          <w:szCs w:val="24"/>
        </w:rPr>
        <w:t xml:space="preserve">A typical AETH-1 session demonstrates the platform's design philosophy:</w:t>
      </w:r>
    </w:p>
    <w:p>
      <w:pPr>
        <w:pStyle w:val="ListParagraph"/>
        <w:numPr>
          <w:ilvl w:val="0"/>
          <w:numId w:val="1"/>
        </w:numPr>
        <w:spacing w:after="80" w:line="312"/>
      </w:pPr>
      <w:r>
        <w:rPr>
          <w:rFonts w:ascii="Times New Roman" w:eastAsia="Microsoft YaHei"/>
          <w:color w:val="2C3E50"/>
          <w:sz w:val="24"/>
          <w:szCs w:val="24"/>
        </w:rPr>
        <w:t xml:space="preserve">Login via SSO or institutional credentials (10 seconds)</w:t>
      </w:r>
    </w:p>
    <w:p>
      <w:pPr>
        <w:pStyle w:val="ListParagraph"/>
        <w:numPr>
          <w:ilvl w:val="0"/>
          <w:numId w:val="1"/>
        </w:numPr>
        <w:spacing w:after="80" w:line="312"/>
      </w:pPr>
      <w:r>
        <w:rPr>
          <w:rFonts w:ascii="Times New Roman" w:eastAsia="Microsoft YaHei"/>
          <w:color w:val="2C3E50"/>
          <w:sz w:val="24"/>
          <w:szCs w:val="24"/>
        </w:rPr>
        <w:t xml:space="preserve">Select project from dashboard showing recent activity and team updates</w:t>
      </w:r>
    </w:p>
    <w:p>
      <w:pPr>
        <w:pStyle w:val="ListParagraph"/>
        <w:numPr>
          <w:ilvl w:val="0"/>
          <w:numId w:val="1"/>
        </w:numPr>
        <w:spacing w:after="80" w:line="312"/>
      </w:pPr>
      <w:r>
        <w:rPr>
          <w:rFonts w:ascii="Times New Roman" w:eastAsia="Microsoft YaHei"/>
          <w:color w:val="2C3E50"/>
          <w:sz w:val="24"/>
          <w:szCs w:val="24"/>
        </w:rPr>
        <w:t xml:space="preserve">Open notebook with previous session automatically restored</w:t>
      </w:r>
    </w:p>
    <w:p>
      <w:pPr>
        <w:pStyle w:val="ListParagraph"/>
        <w:numPr>
          <w:ilvl w:val="0"/>
          <w:numId w:val="1"/>
        </w:numPr>
        <w:spacing w:after="80" w:line="312"/>
      </w:pPr>
      <w:r>
        <w:rPr>
          <w:rFonts w:ascii="Times New Roman" w:eastAsia="Microsoft YaHei"/>
          <w:color w:val="2C3E50"/>
          <w:sz w:val="24"/>
          <w:szCs w:val="24"/>
        </w:rPr>
        <w:t xml:space="preserve">Import new dataset via drag-and-drop or connected data source</w:t>
      </w:r>
    </w:p>
    <w:p>
      <w:pPr>
        <w:pStyle w:val="ListParagraph"/>
        <w:numPr>
          <w:ilvl w:val="0"/>
          <w:numId w:val="1"/>
        </w:numPr>
        <w:spacing w:after="80" w:line="312"/>
      </w:pPr>
      <w:r>
        <w:rPr>
          <w:rFonts w:ascii="Times New Roman" w:eastAsia="Microsoft YaHei"/>
          <w:color w:val="2C3E50"/>
          <w:sz w:val="24"/>
          <w:szCs w:val="24"/>
        </w:rPr>
        <w:t xml:space="preserve">Receive automated suggestions for preprocessing and analysis options</w:t>
      </w:r>
    </w:p>
    <w:p>
      <w:pPr>
        <w:pStyle w:val="ListParagraph"/>
        <w:numPr>
          <w:ilvl w:val="0"/>
          <w:numId w:val="1"/>
        </w:numPr>
        <w:spacing w:after="80" w:line="312"/>
      </w:pPr>
      <w:r>
        <w:rPr>
          <w:rFonts w:ascii="Times New Roman" w:eastAsia="Microsoft YaHei"/>
          <w:color w:val="2C3E50"/>
          <w:sz w:val="24"/>
          <w:szCs w:val="24"/>
        </w:rPr>
        <w:t xml:space="preserve">Execute analysis with visual progress indication and resource monitoring</w:t>
      </w:r>
    </w:p>
    <w:p>
      <w:pPr>
        <w:pStyle w:val="ListParagraph"/>
        <w:numPr>
          <w:ilvl w:val="0"/>
          <w:numId w:val="1"/>
        </w:numPr>
        <w:spacing w:after="80" w:line="312"/>
      </w:pPr>
      <w:r>
        <w:rPr>
          <w:rFonts w:ascii="Times New Roman" w:eastAsia="Microsoft YaHei"/>
          <w:color w:val="2C3E50"/>
          <w:sz w:val="24"/>
          <w:szCs w:val="24"/>
        </w:rPr>
        <w:t xml:space="preserve">Share results link with collaborators who can view and comment</w:t>
      </w:r>
    </w:p>
    <w:p>
      <w:pPr>
        <w:pStyle w:val="ListParagraph"/>
        <w:numPr>
          <w:ilvl w:val="0"/>
          <w:numId w:val="1"/>
        </w:numPr>
        <w:spacing w:after="80" w:line="312"/>
      </w:pPr>
      <w:r>
        <w:rPr>
          <w:rFonts w:ascii="Times New Roman" w:eastAsia="Microsoft YaHei"/>
          <w:color w:val="2C3E50"/>
          <w:sz w:val="24"/>
          <w:szCs w:val="24"/>
        </w:rPr>
        <w:t xml:space="preserve">Export publication-ready figures with one click</w:t>
      </w:r>
    </w:p>
    <w:p>
      <w:pPr>
        <w:spacing w:after="120" w:line="312"/>
        <w:ind w:firstLine="480"/>
        <w:jc w:val="both"/>
      </w:pPr>
      <w:r>
        <w:rPr>
          <w:rFonts w:ascii="Times New Roman" w:eastAsia="Microsoft YaHei"/>
          <w:color w:val="2C3E50"/>
          <w:sz w:val="24"/>
          <w:szCs w:val="24"/>
        </w:rPr>
        <w:t xml:space="preserve">This streamlined workflow reduces typical analysis time by 40-60% compared to conventional toolchains, based on our pilot studies.</w:t>
      </w:r>
    </w:p>
    <w:p>
      <w:pPr>
        <w:pStyle w:val="Heading2"/>
        <w:spacing w:after="160" w:before="300" w:line="312"/>
      </w:pPr>
      <w:bookmarkStart w:id="100058" w:name="_Toc100058"/>
      <w:r>
        <w:rPr>
          <w:rFonts w:ascii="Calibri" w:eastAsia="SimHei"/>
          <w:b/>
          <w:bCs/>
          <w:color w:val="1A2330"/>
          <w:sz w:val="28"/>
          <w:szCs w:val="28"/>
        </w:rPr>
        <w:t xml:space="preserve">5.4 Technical Architecture Overview</w:t>
      </w:r>
      <w:bookmarkEnd w:id="100058"/>
    </w:p>
    <w:p>
      <w:pPr>
        <w:spacing w:after="120" w:line="312"/>
        <w:ind w:firstLine="480"/>
        <w:jc w:val="both"/>
      </w:pPr>
      <w:r>
        <w:rPr>
          <w:rFonts w:ascii="Times New Roman" w:eastAsia="Microsoft YaHei"/>
          <w:color w:val="2C3E50"/>
          <w:sz w:val="24"/>
          <w:szCs w:val="24"/>
        </w:rPr>
        <w:t xml:space="preserve">AETH-1 employs a modern microservices architecture deployed on Kubernetes clusters across multiple cloud regions:</w:t>
      </w:r>
    </w:p>
    <w:p>
      <w:pPr>
        <w:pStyle w:val="Heading3"/>
        <w:spacing w:after="120" w:before="240" w:line="312"/>
      </w:pPr>
      <w:bookmarkStart w:id="100059" w:name="_Toc100059"/>
      <w:r>
        <w:rPr>
          <w:rFonts w:ascii="Calibri" w:eastAsia="SimHei"/>
          <w:b/>
          <w:bCs/>
          <w:color w:val="1A2330"/>
          <w:sz w:val="24"/>
          <w:szCs w:val="24"/>
        </w:rPr>
        <w:t xml:space="preserve">Frontend Layer</w:t>
      </w:r>
      <w:bookmarkEnd w:id="100059"/>
    </w:p>
    <w:p>
      <w:pPr>
        <w:spacing w:after="120" w:line="312"/>
        <w:ind w:firstLine="480"/>
        <w:jc w:val="both"/>
      </w:pPr>
      <w:r>
        <w:rPr>
          <w:rFonts w:ascii="Times New Roman" w:eastAsia="Microsoft YaHei"/>
          <w:color w:val="2C3E50"/>
          <w:sz w:val="24"/>
          <w:szCs w:val="24"/>
        </w:rPr>
        <w:t xml:space="preserve">React-based SPA with WebGL visualizations, offline-capable components, and responsive design for desktop and tablet interfaces.</w:t>
      </w:r>
    </w:p>
    <w:p>
      <w:pPr>
        <w:pStyle w:val="Heading3"/>
        <w:spacing w:after="120" w:before="240" w:line="312"/>
      </w:pPr>
      <w:bookmarkStart w:id="100060" w:name="_Toc100060"/>
      <w:r>
        <w:rPr>
          <w:rFonts w:ascii="Calibri" w:eastAsia="SimHei"/>
          <w:b/>
          <w:bCs/>
          <w:color w:val="1A2330"/>
          <w:sz w:val="24"/>
          <w:szCs w:val="24"/>
        </w:rPr>
        <w:t xml:space="preserve">API Gateway</w:t>
      </w:r>
      <w:bookmarkEnd w:id="100060"/>
    </w:p>
    <w:p>
      <w:pPr>
        <w:spacing w:after="120" w:line="312"/>
        <w:ind w:firstLine="480"/>
        <w:jc w:val="both"/>
      </w:pPr>
      <w:r>
        <w:rPr>
          <w:rFonts w:ascii="Times New Roman" w:eastAsia="Microsoft YaHei"/>
          <w:color w:val="2C3E50"/>
          <w:sz w:val="24"/>
          <w:szCs w:val="24"/>
        </w:rPr>
        <w:t xml:space="preserve">Rate-limited, authenticated routing to backend services with request validation, caching, and audit logging.</w:t>
      </w:r>
    </w:p>
    <w:p>
      <w:pPr>
        <w:pStyle w:val="Heading3"/>
        <w:spacing w:after="120" w:before="240" w:line="312"/>
      </w:pPr>
      <w:bookmarkStart w:id="100061" w:name="_Toc100061"/>
      <w:r>
        <w:rPr>
          <w:rFonts w:ascii="Calibri" w:eastAsia="SimHei"/>
          <w:b/>
          <w:bCs/>
          <w:color w:val="1A2330"/>
          <w:sz w:val="24"/>
          <w:szCs w:val="24"/>
        </w:rPr>
        <w:t xml:space="preserve">Core Services</w:t>
      </w:r>
      <w:bookmarkEnd w:id="100061"/>
    </w:p>
    <w:p>
      <w:pPr>
        <w:spacing w:after="120" w:line="312"/>
        <w:ind w:firstLine="480"/>
        <w:jc w:val="both"/>
      </w:pPr>
      <w:r>
        <w:rPr>
          <w:rFonts w:ascii="Times New Roman" w:eastAsia="Microsoft YaHei"/>
          <w:color w:val="2C3E50"/>
          <w:sz w:val="24"/>
          <w:szCs w:val="24"/>
        </w:rPr>
        <w:t xml:space="preserve">User management, project organization, data catalog, workflow orchestration, collaboration, and notification services implemented as independent scalable microservices.</w:t>
      </w:r>
    </w:p>
    <w:p>
      <w:pPr>
        <w:pStyle w:val="Heading3"/>
        <w:spacing w:after="120" w:before="240" w:line="312"/>
      </w:pPr>
      <w:bookmarkStart w:id="100062" w:name="_Toc100062"/>
      <w:r>
        <w:rPr>
          <w:rFonts w:ascii="Calibri" w:eastAsia="SimHei"/>
          <w:b/>
          <w:bCs/>
          <w:color w:val="1A2330"/>
          <w:sz w:val="24"/>
          <w:szCs w:val="24"/>
        </w:rPr>
        <w:t xml:space="preserve">Compute Layer</w:t>
      </w:r>
      <w:bookmarkEnd w:id="100062"/>
    </w:p>
    <w:p>
      <w:pPr>
        <w:spacing w:after="120" w:line="312"/>
        <w:ind w:firstLine="480"/>
        <w:jc w:val="both"/>
      </w:pPr>
      <w:r>
        <w:rPr>
          <w:rFonts w:ascii="Times New Roman" w:eastAsia="Microsoft YaHei"/>
          <w:color w:val="2C3E50"/>
          <w:sz w:val="24"/>
          <w:szCs w:val="24"/>
        </w:rPr>
        <w:t xml:space="preserve">Containerized execution environments supporting Python, R, Julia, and custom binaries. Auto-scaling based on queue depth and priority.</w:t>
      </w:r>
    </w:p>
    <w:p>
      <w:pPr>
        <w:pStyle w:val="Heading3"/>
        <w:spacing w:after="120" w:before="240" w:line="312"/>
      </w:pPr>
      <w:bookmarkStart w:id="100063" w:name="_Toc100063"/>
      <w:r>
        <w:rPr>
          <w:rFonts w:ascii="Calibri" w:eastAsia="SimHei"/>
          <w:b/>
          <w:bCs/>
          <w:color w:val="1A2330"/>
          <w:sz w:val="24"/>
          <w:szCs w:val="24"/>
        </w:rPr>
        <w:t xml:space="preserve">Data Layer</w:t>
      </w:r>
      <w:bookmarkEnd w:id="100063"/>
    </w:p>
    <w:p>
      <w:pPr>
        <w:spacing w:after="120" w:line="312"/>
        <w:ind w:firstLine="480"/>
        <w:jc w:val="both"/>
      </w:pPr>
      <w:r>
        <w:rPr>
          <w:rFonts w:ascii="Times New Roman" w:eastAsia="Microsoft YaHei"/>
          <w:color w:val="2C3E50"/>
          <w:sz w:val="24"/>
          <w:szCs w:val="24"/>
        </w:rPr>
        <w:t xml:space="preserve">Object storage for datasets, time-series database for metrics, graph database for relationships, and search index for discoverability.</w:t>
      </w:r>
    </w:p>
    <w:p>
      <w:pPr>
        <w:pStyle w:val="Heading2"/>
        <w:spacing w:after="160" w:before="300" w:line="312"/>
      </w:pPr>
      <w:bookmarkStart w:id="100064" w:name="_Toc100064"/>
      <w:r>
        <w:rPr>
          <w:rFonts w:ascii="Calibri" w:eastAsia="SimHei"/>
          <w:b/>
          <w:bCs/>
          <w:color w:val="1A2330"/>
          <w:sz w:val="28"/>
          <w:szCs w:val="28"/>
        </w:rPr>
        <w:t xml:space="preserve">5.5 Competitive Differentiation</w:t>
      </w:r>
      <w:bookmarkEnd w:id="100064"/>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shd w:fill="D4875A" w:val="clear"/>
            <w:tcMar>
              <w:top w:type="dxa" w:w="60"/>
              <w:left w:type="dxa" w:w="120"/>
              <w:bottom w:type="dxa" w:w="60"/>
              <w:right w:type="dxa" w:w="120"/>
            </w:tcMar>
          </w:tcPr>
          <w:p>
            <w:r>
              <w:rPr>
                <w:b/>
                <w:bCs/>
                <w:color w:val="FFFFFF"/>
                <w:sz w:val="21"/>
                <w:szCs w:val="21"/>
              </w:rPr>
              <w:t xml:space="preserve">Capability</w:t>
            </w:r>
          </w:p>
        </w:tc>
        <w:tc>
          <w:tcPr>
            <w:tcW w:type="pct" w:w="25%"/>
            <w:shd w:fill="D4875A" w:val="clear"/>
            <w:tcMar>
              <w:top w:type="dxa" w:w="60"/>
              <w:left w:type="dxa" w:w="120"/>
              <w:bottom w:type="dxa" w:w="60"/>
              <w:right w:type="dxa" w:w="120"/>
            </w:tcMar>
          </w:tcPr>
          <w:p>
            <w:r>
              <w:rPr>
                <w:b/>
                <w:bCs/>
                <w:color w:val="FFFFFF"/>
                <w:sz w:val="21"/>
                <w:szCs w:val="21"/>
              </w:rPr>
              <w:t xml:space="preserve">AETH-1</w:t>
            </w:r>
          </w:p>
        </w:tc>
        <w:tc>
          <w:tcPr>
            <w:tcW w:type="pct" w:w="27%"/>
            <w:shd w:fill="D4875A" w:val="clear"/>
            <w:tcMar>
              <w:top w:type="dxa" w:w="60"/>
              <w:left w:type="dxa" w:w="120"/>
              <w:bottom w:type="dxa" w:w="60"/>
              <w:right w:type="dxa" w:w="120"/>
            </w:tcMar>
          </w:tcPr>
          <w:p>
            <w:r>
              <w:rPr>
                <w:b/>
                <w:bCs/>
                <w:color w:val="FFFFFF"/>
                <w:sz w:val="21"/>
                <w:szCs w:val="21"/>
              </w:rPr>
              <w:t xml:space="preserve">Legacy Competitors</w:t>
            </w:r>
          </w:p>
        </w:tc>
        <w:tc>
          <w:tcPr>
            <w:tcW w:type="pct" w:w="23%"/>
            <w:shd w:fill="D4875A" w:val="clear"/>
            <w:tcMar>
              <w:top w:type="dxa" w:w="60"/>
              <w:left w:type="dxa" w:w="120"/>
              <w:bottom w:type="dxa" w:w="60"/>
              <w:right w:type="dxa" w:w="120"/>
            </w:tcMar>
          </w:tcPr>
          <w:p>
            <w:r>
              <w:rPr>
                <w:b/>
                <w:bCs/>
                <w:color w:val="FFFFFF"/>
                <w:sz w:val="21"/>
                <w:szCs w:val="21"/>
              </w:rPr>
              <w:t xml:space="preserve">Cloud-Native Alternatives</w:t>
            </w:r>
          </w:p>
        </w:tc>
      </w:tr>
      <w:tr>
        <w:trPr>
          <w:cantSplit/>
        </w:trPr>
        <w:tc>
          <w:tcPr>
            <w:tcW w:type="pct" w:w="25%"/>
            <w:shd w:fill="F8F0EB" w:val="clear"/>
            <w:tcMar>
              <w:top w:type="dxa" w:w="60"/>
              <w:left w:type="dxa" w:w="120"/>
              <w:bottom w:type="dxa" w:w="60"/>
              <w:right w:type="dxa" w:w="120"/>
            </w:tcMar>
          </w:tcPr>
          <w:p>
            <w:r>
              <w:rPr>
                <w:sz w:val="21"/>
                <w:szCs w:val="21"/>
              </w:rPr>
              <w:t xml:space="preserve">Unified Interface</w:t>
            </w:r>
          </w:p>
        </w:tc>
        <w:tc>
          <w:tcPr>
            <w:tcW w:type="pct" w:w="25%"/>
            <w:shd w:fill="F8F0EB" w:val="clear"/>
            <w:tcMar>
              <w:top w:type="dxa" w:w="60"/>
              <w:left w:type="dxa" w:w="120"/>
              <w:bottom w:type="dxa" w:w="60"/>
              <w:right w:type="dxa" w:w="120"/>
            </w:tcMar>
          </w:tcPr>
          <w:p>
            <w:r>
              <w:rPr>
                <w:sz w:val="21"/>
                <w:szCs w:val="21"/>
              </w:rPr>
              <w:t xml:space="preserve">Full</w:t>
            </w:r>
          </w:p>
        </w:tc>
        <w:tc>
          <w:tcPr>
            <w:tcW w:type="pct" w:w="27%"/>
            <w:shd w:fill="F8F0EB" w:val="clear"/>
            <w:tcMar>
              <w:top w:type="dxa" w:w="60"/>
              <w:left w:type="dxa" w:w="120"/>
              <w:bottom w:type="dxa" w:w="60"/>
              <w:right w:type="dxa" w:w="120"/>
            </w:tcMar>
          </w:tcPr>
          <w:p>
            <w:r>
              <w:rPr>
                <w:sz w:val="21"/>
                <w:szCs w:val="21"/>
              </w:rPr>
              <w:t xml:space="preserve">Limited</w:t>
            </w:r>
          </w:p>
        </w:tc>
        <w:tc>
          <w:tcPr>
            <w:tcW w:type="pct" w:w="23%"/>
            <w:shd w:fill="F8F0EB" w:val="clear"/>
            <w:tcMar>
              <w:top w:type="dxa" w:w="60"/>
              <w:left w:type="dxa" w:w="120"/>
              <w:bottom w:type="dxa" w:w="60"/>
              <w:right w:type="dxa" w:w="120"/>
            </w:tcMar>
          </w:tcPr>
          <w:p>
            <w:r>
              <w:rPr>
                <w:sz w:val="21"/>
                <w:szCs w:val="21"/>
              </w:rPr>
              <w:t xml:space="preserve">Partial</w:t>
            </w:r>
          </w:p>
        </w:tc>
      </w:tr>
      <w:tr>
        <w:trPr>
          <w:cantSplit/>
        </w:trPr>
        <w:tc>
          <w:tcPr>
            <w:tcW w:type="pct" w:w="25%"/>
            <w:shd w:fill="FFFFFF" w:val="clear"/>
            <w:tcMar>
              <w:top w:type="dxa" w:w="60"/>
              <w:left w:type="dxa" w:w="120"/>
              <w:bottom w:type="dxa" w:w="60"/>
              <w:right w:type="dxa" w:w="120"/>
            </w:tcMar>
          </w:tcPr>
          <w:p>
            <w:r>
              <w:rPr>
                <w:sz w:val="21"/>
                <w:szCs w:val="21"/>
              </w:rPr>
              <w:t xml:space="preserve">AI Assistance</w:t>
            </w:r>
          </w:p>
        </w:tc>
        <w:tc>
          <w:tcPr>
            <w:tcW w:type="pct" w:w="25%"/>
            <w:shd w:fill="FFFFFF" w:val="clear"/>
            <w:tcMar>
              <w:top w:type="dxa" w:w="60"/>
              <w:left w:type="dxa" w:w="120"/>
              <w:bottom w:type="dxa" w:w="60"/>
              <w:right w:type="dxa" w:w="120"/>
            </w:tcMar>
          </w:tcPr>
          <w:p>
            <w:r>
              <w:rPr>
                <w:sz w:val="21"/>
                <w:szCs w:val="21"/>
              </w:rPr>
              <w:t xml:space="preserve">Built-in</w:t>
            </w:r>
          </w:p>
        </w:tc>
        <w:tc>
          <w:tcPr>
            <w:tcW w:type="pct" w:w="27%"/>
            <w:shd w:fill="FFFFFF" w:val="clear"/>
            <w:tcMar>
              <w:top w:type="dxa" w:w="60"/>
              <w:left w:type="dxa" w:w="120"/>
              <w:bottom w:type="dxa" w:w="60"/>
              <w:right w:type="dxa" w:w="120"/>
            </w:tcMar>
          </w:tcPr>
          <w:p>
            <w:r>
              <w:rPr>
                <w:sz w:val="21"/>
                <w:szCs w:val="21"/>
              </w:rPr>
              <w:t xml:space="preserve">None/Basic</w:t>
            </w:r>
          </w:p>
        </w:tc>
        <w:tc>
          <w:tcPr>
            <w:tcW w:type="pct" w:w="23%"/>
            <w:shd w:fill="FFFFFF" w:val="clear"/>
            <w:tcMar>
              <w:top w:type="dxa" w:w="60"/>
              <w:left w:type="dxa" w:w="120"/>
              <w:bottom w:type="dxa" w:w="60"/>
              <w:right w:type="dxa" w:w="120"/>
            </w:tcMar>
          </w:tcPr>
          <w:p>
            <w:r>
              <w:rPr>
                <w:sz w:val="21"/>
                <w:szCs w:val="21"/>
              </w:rPr>
              <w:t xml:space="preserve">Varies</w:t>
            </w:r>
          </w:p>
        </w:tc>
      </w:tr>
      <w:tr>
        <w:trPr>
          <w:cantSplit/>
        </w:trPr>
        <w:tc>
          <w:tcPr>
            <w:tcW w:type="pct" w:w="25%"/>
            <w:shd w:fill="F8F0EB" w:val="clear"/>
            <w:tcMar>
              <w:top w:type="dxa" w:w="60"/>
              <w:left w:type="dxa" w:w="120"/>
              <w:bottom w:type="dxa" w:w="60"/>
              <w:right w:type="dxa" w:w="120"/>
            </w:tcMar>
          </w:tcPr>
          <w:p>
            <w:r>
              <w:rPr>
                <w:sz w:val="21"/>
                <w:szCs w:val="21"/>
              </w:rPr>
              <w:t xml:space="preserve">Pricing Model</w:t>
            </w:r>
          </w:p>
        </w:tc>
        <w:tc>
          <w:tcPr>
            <w:tcW w:type="pct" w:w="25%"/>
            <w:shd w:fill="F8F0EB" w:val="clear"/>
            <w:tcMar>
              <w:top w:type="dxa" w:w="60"/>
              <w:left w:type="dxa" w:w="120"/>
              <w:bottom w:type="dxa" w:w="60"/>
              <w:right w:type="dxa" w:w="120"/>
            </w:tcMar>
          </w:tcPr>
          <w:p>
            <w:r>
              <w:rPr>
                <w:sz w:val="21"/>
                <w:szCs w:val="21"/>
              </w:rPr>
              <w:t xml:space="preserve">Flexible tiers</w:t>
            </w:r>
          </w:p>
        </w:tc>
        <w:tc>
          <w:tcPr>
            <w:tcW w:type="pct" w:w="27%"/>
            <w:shd w:fill="F8F0EB" w:val="clear"/>
            <w:tcMar>
              <w:top w:type="dxa" w:w="60"/>
              <w:left w:type="dxa" w:w="120"/>
              <w:bottom w:type="dxa" w:w="60"/>
              <w:right w:type="dxa" w:w="120"/>
            </w:tcMar>
          </w:tcPr>
          <w:p>
            <w:r>
              <w:rPr>
                <w:sz w:val="21"/>
                <w:szCs w:val="21"/>
              </w:rPr>
              <w:t xml:space="preserve">Perpetual licenses</w:t>
            </w:r>
          </w:p>
        </w:tc>
        <w:tc>
          <w:tcPr>
            <w:tcW w:type="pct" w:w="23%"/>
            <w:shd w:fill="F8F0EB" w:val="clear"/>
            <w:tcMar>
              <w:top w:type="dxa" w:w="60"/>
              <w:left w:type="dxa" w:w="120"/>
              <w:bottom w:type="dxa" w:w="60"/>
              <w:right w:type="dxa" w:w="120"/>
            </w:tcMar>
          </w:tcPr>
          <w:p>
            <w:r>
              <w:rPr>
                <w:sz w:val="21"/>
                <w:szCs w:val="21"/>
              </w:rPr>
              <w:t xml:space="preserve">Usage-based only</w:t>
            </w:r>
          </w:p>
        </w:tc>
      </w:tr>
      <w:tr>
        <w:trPr>
          <w:cantSplit/>
        </w:trPr>
        <w:tc>
          <w:tcPr>
            <w:tcW w:type="pct" w:w="25%"/>
            <w:shd w:fill="FFFFFF" w:val="clear"/>
            <w:tcMar>
              <w:top w:type="dxa" w:w="60"/>
              <w:left w:type="dxa" w:w="120"/>
              <w:bottom w:type="dxa" w:w="60"/>
              <w:right w:type="dxa" w:w="120"/>
            </w:tcMar>
          </w:tcPr>
          <w:p>
            <w:r>
              <w:rPr>
                <w:sz w:val="21"/>
                <w:szCs w:val="21"/>
              </w:rPr>
              <w:t xml:space="preserve">Onboarding Time</w:t>
            </w:r>
          </w:p>
        </w:tc>
        <w:tc>
          <w:tcPr>
            <w:tcW w:type="pct" w:w="25%"/>
            <w:shd w:fill="FFFFFF" w:val="clear"/>
            <w:tcMar>
              <w:top w:type="dxa" w:w="60"/>
              <w:left w:type="dxa" w:w="120"/>
              <w:bottom w:type="dxa" w:w="60"/>
              <w:right w:type="dxa" w:w="120"/>
            </w:tcMar>
          </w:tcPr>
          <w:p>
            <w:r>
              <w:rPr>
                <w:sz w:val="21"/>
                <w:szCs w:val="21"/>
              </w:rPr>
              <w:t xml:space="preserve">&lt; 1 hour</w:t>
            </w:r>
          </w:p>
        </w:tc>
        <w:tc>
          <w:tcPr>
            <w:tcW w:type="pct" w:w="27%"/>
            <w:shd w:fill="FFFFFF" w:val="clear"/>
            <w:tcMar>
              <w:top w:type="dxa" w:w="60"/>
              <w:left w:type="dxa" w:w="120"/>
              <w:bottom w:type="dxa" w:w="60"/>
              <w:right w:type="dxa" w:w="120"/>
            </w:tcMar>
          </w:tcPr>
          <w:p>
            <w:r>
              <w:rPr>
                <w:sz w:val="21"/>
                <w:szCs w:val="21"/>
              </w:rPr>
              <w:t xml:space="preserve">Weeks-Months</w:t>
            </w:r>
          </w:p>
        </w:tc>
        <w:tc>
          <w:tcPr>
            <w:tcW w:type="pct" w:w="23%"/>
            <w:shd w:fill="FFFFFF" w:val="clear"/>
            <w:tcMar>
              <w:top w:type="dxa" w:w="60"/>
              <w:left w:type="dxa" w:w="120"/>
              <w:bottom w:type="dxa" w:w="60"/>
              <w:right w:type="dxa" w:w="120"/>
            </w:tcMar>
          </w:tcPr>
          <w:p>
            <w:r>
              <w:rPr>
                <w:sz w:val="21"/>
                <w:szCs w:val="21"/>
              </w:rPr>
              <w:t xml:space="preserve">Days</w:t>
            </w:r>
          </w:p>
        </w:tc>
      </w:tr>
      <w:tr>
        <w:trPr>
          <w:cantSplit/>
        </w:trPr>
        <w:tc>
          <w:tcPr>
            <w:tcW w:type="pct" w:w="25%"/>
            <w:shd w:fill="F8F0EB" w:val="clear"/>
            <w:tcMar>
              <w:top w:type="dxa" w:w="60"/>
              <w:left w:type="dxa" w:w="120"/>
              <w:bottom w:type="dxa" w:w="60"/>
              <w:right w:type="dxa" w:w="120"/>
            </w:tcMar>
          </w:tcPr>
          <w:p>
            <w:r>
              <w:rPr>
                <w:sz w:val="21"/>
                <w:szCs w:val="21"/>
              </w:rPr>
              <w:t xml:space="preserve">Collaboration</w:t>
            </w:r>
          </w:p>
        </w:tc>
        <w:tc>
          <w:tcPr>
            <w:tcW w:type="pct" w:w="25%"/>
            <w:shd w:fill="F8F0EB" w:val="clear"/>
            <w:tcMar>
              <w:top w:type="dxa" w:w="60"/>
              <w:left w:type="dxa" w:w="120"/>
              <w:bottom w:type="dxa" w:w="60"/>
              <w:right w:type="dxa" w:w="120"/>
            </w:tcMar>
          </w:tcPr>
          <w:p>
            <w:r>
              <w:rPr>
                <w:sz w:val="21"/>
                <w:szCs w:val="21"/>
              </w:rPr>
              <w:t xml:space="preserve">Real-time</w:t>
            </w:r>
          </w:p>
        </w:tc>
        <w:tc>
          <w:tcPr>
            <w:tcW w:type="pct" w:w="27%"/>
            <w:shd w:fill="F8F0EB" w:val="clear"/>
            <w:tcMar>
              <w:top w:type="dxa" w:w="60"/>
              <w:left w:type="dxa" w:w="120"/>
              <w:bottom w:type="dxa" w:w="60"/>
              <w:right w:type="dxa" w:w="120"/>
            </w:tcMar>
          </w:tcPr>
          <w:p>
            <w:r>
              <w:rPr>
                <w:sz w:val="21"/>
                <w:szCs w:val="21"/>
              </w:rPr>
              <w:t xml:space="preserve">File-based</w:t>
            </w:r>
          </w:p>
        </w:tc>
        <w:tc>
          <w:tcPr>
            <w:tcW w:type="pct" w:w="23%"/>
            <w:shd w:fill="F8F0EB" w:val="clear"/>
            <w:tcMar>
              <w:top w:type="dxa" w:w="60"/>
              <w:left w:type="dxa" w:w="120"/>
              <w:bottom w:type="dxa" w:w="60"/>
              <w:right w:type="dxa" w:w="120"/>
            </w:tcMar>
          </w:tcPr>
          <w:p>
            <w:r>
              <w:rPr>
                <w:sz w:val="21"/>
                <w:szCs w:val="21"/>
              </w:rPr>
              <w:t xml:space="preserve">Basic</w:t>
            </w:r>
          </w:p>
        </w:tc>
      </w:tr>
      <w:tr>
        <w:trPr>
          <w:cantSplit/>
        </w:trPr>
        <w:tc>
          <w:tcPr>
            <w:tcW w:type="pct" w:w="25%"/>
            <w:shd w:fill="FFFFFF" w:val="clear"/>
            <w:tcMar>
              <w:top w:type="dxa" w:w="60"/>
              <w:left w:type="dxa" w:w="120"/>
              <w:bottom w:type="dxa" w:w="60"/>
              <w:right w:type="dxa" w:w="120"/>
            </w:tcMar>
          </w:tcPr>
          <w:p>
            <w:r>
              <w:rPr>
                <w:sz w:val="21"/>
                <w:szCs w:val="21"/>
              </w:rPr>
              <w:t xml:space="preserve">Reproducibility</w:t>
            </w:r>
          </w:p>
        </w:tc>
        <w:tc>
          <w:tcPr>
            <w:tcW w:type="pct" w:w="25%"/>
            <w:shd w:fill="FFFFFF" w:val="clear"/>
            <w:tcMar>
              <w:top w:type="dxa" w:w="60"/>
              <w:left w:type="dxa" w:w="120"/>
              <w:bottom w:type="dxa" w:w="60"/>
              <w:right w:type="dxa" w:w="120"/>
            </w:tcMar>
          </w:tcPr>
          <w:p>
            <w:r>
              <w:rPr>
                <w:sz w:val="21"/>
                <w:szCs w:val="21"/>
              </w:rPr>
              <w:t xml:space="preserve">Automatic</w:t>
            </w:r>
          </w:p>
        </w:tc>
        <w:tc>
          <w:tcPr>
            <w:tcW w:type="pct" w:w="27%"/>
            <w:shd w:fill="FFFFFF" w:val="clear"/>
            <w:tcMar>
              <w:top w:type="dxa" w:w="60"/>
              <w:left w:type="dxa" w:w="120"/>
              <w:bottom w:type="dxa" w:w="60"/>
              <w:right w:type="dxa" w:w="120"/>
            </w:tcMar>
          </w:tcPr>
          <w:p>
            <w:r>
              <w:rPr>
                <w:sz w:val="21"/>
                <w:szCs w:val="21"/>
              </w:rPr>
              <w:t xml:space="preserve">Manual</w:t>
            </w:r>
          </w:p>
        </w:tc>
        <w:tc>
          <w:tcPr>
            <w:tcW w:type="pct" w:w="23%"/>
            <w:shd w:fill="FFFFFF" w:val="clear"/>
            <w:tcMar>
              <w:top w:type="dxa" w:w="60"/>
              <w:left w:type="dxa" w:w="120"/>
              <w:bottom w:type="dxa" w:w="60"/>
              <w:right w:type="dxa" w:w="120"/>
            </w:tcMar>
          </w:tcPr>
          <w:p>
            <w:r>
              <w:rPr>
                <w:sz w:val="21"/>
                <w:szCs w:val="21"/>
              </w:rPr>
              <w:t xml:space="preserve">Partial</w:t>
            </w:r>
          </w:p>
        </w:tc>
      </w:tr>
    </w:tbl>
    <w:p>
      <w:pPr>
        <w:spacing w:after="200"/>
      </w:pPr>
    </w:p>
    <w:p>
      <w:pPr>
        <w:pStyle w:val="Heading1"/>
        <w:spacing w:after="200" w:before="400" w:line="312"/>
      </w:pPr>
      <w:bookmarkStart w:id="100065" w:name="_Toc100065"/>
      <w:r>
        <w:rPr>
          <w:rFonts w:ascii="Calibri" w:eastAsia="SimHei"/>
          <w:b/>
          <w:bCs/>
          <w:color w:val="1A2330"/>
          <w:sz w:val="32"/>
          <w:szCs w:val="32"/>
        </w:rPr>
        <w:t xml:space="preserve">6. Business Model</w:t>
      </w:r>
      <w:bookmarkEnd w:id="100065"/>
    </w:p>
    <w:p>
      <w:pPr>
        <w:pStyle w:val="Heading2"/>
        <w:spacing w:after="160" w:before="300" w:line="312"/>
      </w:pPr>
      <w:bookmarkStart w:id="100066" w:name="_Toc100066"/>
      <w:r>
        <w:rPr>
          <w:rFonts w:ascii="Calibri" w:eastAsia="SimHei"/>
          <w:b/>
          <w:bCs/>
          <w:color w:val="1A2330"/>
          <w:sz w:val="28"/>
          <w:szCs w:val="28"/>
        </w:rPr>
        <w:t xml:space="preserve">6.1 Revenue Streams</w:t>
      </w:r>
      <w:bookmarkEnd w:id="100066"/>
    </w:p>
    <w:p>
      <w:pPr>
        <w:pStyle w:val="Heading3"/>
        <w:spacing w:after="120" w:before="240" w:line="312"/>
      </w:pPr>
      <w:bookmarkStart w:id="100067" w:name="_Toc100067"/>
      <w:r>
        <w:rPr>
          <w:rFonts w:ascii="Calibri" w:eastAsia="SimHei"/>
          <w:b/>
          <w:bCs/>
          <w:color w:val="1A2330"/>
          <w:sz w:val="24"/>
          <w:szCs w:val="24"/>
        </w:rPr>
        <w:t xml:space="preserve">Subscription Tiers</w:t>
      </w:r>
      <w:bookmarkEnd w:id="100067"/>
    </w:p>
    <w:p>
      <w:pPr>
        <w:spacing w:after="120" w:line="312"/>
        <w:ind w:firstLine="480"/>
        <w:jc w:val="both"/>
      </w:pPr>
      <w:r>
        <w:rPr>
          <w:rFonts w:ascii="Times New Roman" w:eastAsia="Microsoft YaHei"/>
          <w:color w:val="2C3E50"/>
          <w:sz w:val="24"/>
          <w:szCs w:val="24"/>
        </w:rPr>
        <w:t xml:space="preserve">Four subscription levels serve different user segments: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14%"/>
            <w:shd w:fill="D4875A" w:val="clear"/>
            <w:tcMar>
              <w:top w:type="dxa" w:w="60"/>
              <w:left w:type="dxa" w:w="120"/>
              <w:bottom w:type="dxa" w:w="60"/>
              <w:right w:type="dxa" w:w="120"/>
            </w:tcMar>
          </w:tcPr>
          <w:p>
            <w:r>
              <w:rPr>
                <w:b/>
                <w:bCs/>
                <w:color w:val="FFFFFF"/>
                <w:sz w:val="21"/>
                <w:szCs w:val="21"/>
              </w:rPr>
              <w:t xml:space="preserve">Tier</w:t>
            </w:r>
          </w:p>
        </w:tc>
        <w:tc>
          <w:tcPr>
            <w:tcW w:type="pct" w:w="20%"/>
            <w:shd w:fill="D4875A" w:val="clear"/>
            <w:tcMar>
              <w:top w:type="dxa" w:w="60"/>
              <w:left w:type="dxa" w:w="120"/>
              <w:bottom w:type="dxa" w:w="60"/>
              <w:right w:type="dxa" w:w="120"/>
            </w:tcMar>
          </w:tcPr>
          <w:p>
            <w:r>
              <w:rPr>
                <w:b/>
                <w:bCs/>
                <w:color w:val="FFFFFF"/>
                <w:sz w:val="21"/>
                <w:szCs w:val="21"/>
              </w:rPr>
              <w:t xml:space="preserve">Price</w:t>
            </w:r>
          </w:p>
        </w:tc>
        <w:tc>
          <w:tcPr>
            <w:tcW w:type="pct" w:w="28%"/>
            <w:shd w:fill="D4875A" w:val="clear"/>
            <w:tcMar>
              <w:top w:type="dxa" w:w="60"/>
              <w:left w:type="dxa" w:w="120"/>
              <w:bottom w:type="dxa" w:w="60"/>
              <w:right w:type="dxa" w:w="120"/>
            </w:tcMar>
          </w:tcPr>
          <w:p>
            <w:r>
              <w:rPr>
                <w:b/>
                <w:bCs/>
                <w:color w:val="FFFFFF"/>
                <w:sz w:val="21"/>
                <w:szCs w:val="21"/>
              </w:rPr>
              <w:t xml:space="preserve">Target User</w:t>
            </w:r>
          </w:p>
        </w:tc>
        <w:tc>
          <w:tcPr>
            <w:tcW w:type="pct" w:w="38%"/>
            <w:shd w:fill="D4875A" w:val="clear"/>
            <w:tcMar>
              <w:top w:type="dxa" w:w="60"/>
              <w:left w:type="dxa" w:w="120"/>
              <w:bottom w:type="dxa" w:w="60"/>
              <w:right w:type="dxa" w:w="120"/>
            </w:tcMar>
          </w:tcPr>
          <w:p>
            <w:r>
              <w:rPr>
                <w:b/>
                <w:bCs/>
                <w:color w:val="FFFFFF"/>
                <w:sz w:val="21"/>
                <w:szCs w:val="21"/>
              </w:rPr>
              <w:t xml:space="preserve">Key Features</w:t>
            </w:r>
          </w:p>
        </w:tc>
      </w:tr>
      <w:tr>
        <w:trPr>
          <w:cantSplit/>
        </w:trPr>
        <w:tc>
          <w:tcPr>
            <w:tcW w:type="pct" w:w="14%"/>
            <w:shd w:fill="F8F0EB" w:val="clear"/>
            <w:tcMar>
              <w:top w:type="dxa" w:w="60"/>
              <w:left w:type="dxa" w:w="120"/>
              <w:bottom w:type="dxa" w:w="60"/>
              <w:right w:type="dxa" w:w="120"/>
            </w:tcMar>
          </w:tcPr>
          <w:p>
            <w:r>
              <w:rPr>
                <w:sz w:val="21"/>
                <w:szCs w:val="21"/>
              </w:rPr>
              <w:t xml:space="preserve">Free</w:t>
            </w:r>
          </w:p>
        </w:tc>
        <w:tc>
          <w:tcPr>
            <w:tcW w:type="pct" w:w="20%"/>
            <w:shd w:fill="F8F0EB" w:val="clear"/>
            <w:tcMar>
              <w:top w:type="dxa" w:w="60"/>
              <w:left w:type="dxa" w:w="120"/>
              <w:bottom w:type="dxa" w:w="60"/>
              <w:right w:type="dxa" w:w="120"/>
            </w:tcMar>
          </w:tcPr>
          <w:p>
            <w:r>
              <w:rPr>
                <w:sz w:val="21"/>
                <w:szCs w:val="21"/>
              </w:rPr>
              <w:t xml:space="preserve">$0</w:t>
            </w:r>
          </w:p>
        </w:tc>
        <w:tc>
          <w:tcPr>
            <w:tcW w:type="pct" w:w="28%"/>
            <w:shd w:fill="F8F0EB" w:val="clear"/>
            <w:tcMar>
              <w:top w:type="dxa" w:w="60"/>
              <w:left w:type="dxa" w:w="120"/>
              <w:bottom w:type="dxa" w:w="60"/>
              <w:right w:type="dxa" w:w="120"/>
            </w:tcMar>
          </w:tcPr>
          <w:p>
            <w:r>
              <w:rPr>
                <w:sz w:val="21"/>
                <w:szCs w:val="21"/>
              </w:rPr>
              <w:t xml:space="preserve">Students, hobbyists</w:t>
            </w:r>
          </w:p>
        </w:tc>
        <w:tc>
          <w:tcPr>
            <w:tcW w:type="pct" w:w="38%"/>
            <w:shd w:fill="F8F0EB" w:val="clear"/>
            <w:tcMar>
              <w:top w:type="dxa" w:w="60"/>
              <w:left w:type="dxa" w:w="120"/>
              <w:bottom w:type="dxa" w:w="60"/>
              <w:right w:type="dxa" w:w="120"/>
            </w:tcMar>
          </w:tcPr>
          <w:p>
            <w:r>
              <w:rPr>
                <w:sz w:val="21"/>
                <w:szCs w:val="21"/>
              </w:rPr>
              <w:t xml:space="preserve">Basic analysis, community support, limited storage</w:t>
            </w:r>
          </w:p>
        </w:tc>
      </w:tr>
      <w:tr>
        <w:trPr>
          <w:cantSplit/>
        </w:trPr>
        <w:tc>
          <w:tcPr>
            <w:tcW w:type="pct" w:w="14%"/>
            <w:shd w:fill="FFFFFF" w:val="clear"/>
            <w:tcMar>
              <w:top w:type="dxa" w:w="60"/>
              <w:left w:type="dxa" w:w="120"/>
              <w:bottom w:type="dxa" w:w="60"/>
              <w:right w:type="dxa" w:w="120"/>
            </w:tcMar>
          </w:tcPr>
          <w:p>
            <w:r>
              <w:rPr>
                <w:sz w:val="21"/>
                <w:szCs w:val="21"/>
              </w:rPr>
              <w:t xml:space="preserve">Pro</w:t>
            </w:r>
          </w:p>
        </w:tc>
        <w:tc>
          <w:tcPr>
            <w:tcW w:type="pct" w:w="20%"/>
            <w:shd w:fill="FFFFFF" w:val="clear"/>
            <w:tcMar>
              <w:top w:type="dxa" w:w="60"/>
              <w:left w:type="dxa" w:w="120"/>
              <w:bottom w:type="dxa" w:w="60"/>
              <w:right w:type="dxa" w:w="120"/>
            </w:tcMar>
          </w:tcPr>
          <w:p>
            <w:r>
              <w:rPr>
                <w:sz w:val="21"/>
                <w:szCs w:val="21"/>
              </w:rPr>
              <w:t xml:space="preserve">$49/mo</w:t>
            </w:r>
          </w:p>
        </w:tc>
        <w:tc>
          <w:tcPr>
            <w:tcW w:type="pct" w:w="28%"/>
            <w:shd w:fill="FFFFFF" w:val="clear"/>
            <w:tcMar>
              <w:top w:type="dxa" w:w="60"/>
              <w:left w:type="dxa" w:w="120"/>
              <w:bottom w:type="dxa" w:w="60"/>
              <w:right w:type="dxa" w:w="120"/>
            </w:tcMar>
          </w:tcPr>
          <w:p>
            <w:r>
              <w:rPr>
                <w:sz w:val="21"/>
                <w:szCs w:val="21"/>
              </w:rPr>
              <w:t xml:space="preserve">Individual professionals</w:t>
            </w:r>
          </w:p>
        </w:tc>
        <w:tc>
          <w:tcPr>
            <w:tcW w:type="pct" w:w="38%"/>
            <w:shd w:fill="FFFFFF" w:val="clear"/>
            <w:tcMar>
              <w:top w:type="dxa" w:w="60"/>
              <w:left w:type="dxa" w:w="120"/>
              <w:bottom w:type="dxa" w:w="60"/>
              <w:right w:type="dxa" w:w="120"/>
            </w:tcMar>
          </w:tcPr>
          <w:p>
            <w:r>
              <w:rPr>
                <w:sz w:val="21"/>
                <w:szCs w:val="21"/>
              </w:rPr>
              <w:t xml:space="preserve">Advanced features, priority support, 100GB storage</w:t>
            </w:r>
          </w:p>
        </w:tc>
      </w:tr>
      <w:tr>
        <w:trPr>
          <w:cantSplit/>
        </w:trPr>
        <w:tc>
          <w:tcPr>
            <w:tcW w:type="pct" w:w="14%"/>
            <w:shd w:fill="F8F0EB" w:val="clear"/>
            <w:tcMar>
              <w:top w:type="dxa" w:w="60"/>
              <w:left w:type="dxa" w:w="120"/>
              <w:bottom w:type="dxa" w:w="60"/>
              <w:right w:type="dxa" w:w="120"/>
            </w:tcMar>
          </w:tcPr>
          <w:p>
            <w:r>
              <w:rPr>
                <w:sz w:val="21"/>
                <w:szCs w:val="21"/>
              </w:rPr>
              <w:t xml:space="preserve">Team</w:t>
            </w:r>
          </w:p>
        </w:tc>
        <w:tc>
          <w:tcPr>
            <w:tcW w:type="pct" w:w="20%"/>
            <w:shd w:fill="F8F0EB" w:val="clear"/>
            <w:tcMar>
              <w:top w:type="dxa" w:w="60"/>
              <w:left w:type="dxa" w:w="120"/>
              <w:bottom w:type="dxa" w:w="60"/>
              <w:right w:type="dxa" w:w="120"/>
            </w:tcMar>
          </w:tcPr>
          <w:p>
            <w:r>
              <w:rPr>
                <w:sz w:val="21"/>
                <w:szCs w:val="21"/>
              </w:rPr>
              <w:t xml:space="preserve">$199/mo/5 seats</w:t>
            </w:r>
          </w:p>
        </w:tc>
        <w:tc>
          <w:tcPr>
            <w:tcW w:type="pct" w:w="28%"/>
            <w:shd w:fill="F8F0EB" w:val="clear"/>
            <w:tcMar>
              <w:top w:type="dxa" w:w="60"/>
              <w:left w:type="dxa" w:w="120"/>
              <w:bottom w:type="dxa" w:w="60"/>
              <w:right w:type="dxa" w:w="120"/>
            </w:tcMar>
          </w:tcPr>
          <w:p>
            <w:r>
              <w:rPr>
                <w:sz w:val="21"/>
                <w:szCs w:val="21"/>
              </w:rPr>
              <w:t xml:space="preserve">Small research groups</w:t>
            </w:r>
          </w:p>
        </w:tc>
        <w:tc>
          <w:tcPr>
            <w:tcW w:type="pct" w:w="38%"/>
            <w:shd w:fill="F8F0EB" w:val="clear"/>
            <w:tcMar>
              <w:top w:type="dxa" w:w="60"/>
              <w:left w:type="dxa" w:w="120"/>
              <w:bottom w:type="dxa" w:w="60"/>
              <w:right w:type="dxa" w:w="120"/>
            </w:tcMar>
          </w:tcPr>
          <w:p>
            <w:r>
              <w:rPr>
                <w:sz w:val="21"/>
                <w:szCs w:val="21"/>
              </w:rPr>
              <w:t xml:space="preserve">Collaboration suite, admin console, shared resources</w:t>
            </w:r>
          </w:p>
        </w:tc>
      </w:tr>
      <w:tr>
        <w:trPr>
          <w:cantSplit/>
        </w:trPr>
        <w:tc>
          <w:tcPr>
            <w:tcW w:type="pct" w:w="14%"/>
            <w:shd w:fill="FFFFFF" w:val="clear"/>
            <w:tcMar>
              <w:top w:type="dxa" w:w="60"/>
              <w:left w:type="dxa" w:w="120"/>
              <w:bottom w:type="dxa" w:w="60"/>
              <w:right w:type="dxa" w:w="120"/>
            </w:tcMar>
          </w:tcPr>
          <w:p>
            <w:r>
              <w:rPr>
                <w:sz w:val="21"/>
                <w:szCs w:val="21"/>
              </w:rPr>
              <w:t xml:space="preserve">Enterprise</w:t>
            </w:r>
          </w:p>
        </w:tc>
        <w:tc>
          <w:tcPr>
            <w:tcW w:type="pct" w:w="20%"/>
            <w:shd w:fill="FFFFFF" w:val="clear"/>
            <w:tcMar>
              <w:top w:type="dxa" w:w="60"/>
              <w:left w:type="dxa" w:w="120"/>
              <w:bottom w:type="dxa" w:w="60"/>
              <w:right w:type="dxa" w:w="120"/>
            </w:tcMar>
          </w:tcPr>
          <w:p>
            <w:r>
              <w:rPr>
                <w:sz w:val="21"/>
                <w:szCs w:val="21"/>
              </w:rPr>
              <w:t xml:space="preserve">Custom</w:t>
            </w:r>
          </w:p>
        </w:tc>
        <w:tc>
          <w:tcPr>
            <w:tcW w:type="pct" w:w="28%"/>
            <w:shd w:fill="FFFFFF" w:val="clear"/>
            <w:tcMar>
              <w:top w:type="dxa" w:w="60"/>
              <w:left w:type="dxa" w:w="120"/>
              <w:bottom w:type="dxa" w:w="60"/>
              <w:right w:type="dxa" w:w="120"/>
            </w:tcMar>
          </w:tcPr>
          <w:p>
            <w:r>
              <w:rPr>
                <w:sz w:val="21"/>
                <w:szCs w:val="21"/>
              </w:rPr>
              <w:t xml:space="preserve">Large organizations</w:t>
            </w:r>
          </w:p>
        </w:tc>
        <w:tc>
          <w:tcPr>
            <w:tcW w:type="pct" w:w="38%"/>
            <w:shd w:fill="FFFFFF" w:val="clear"/>
            <w:tcMar>
              <w:top w:type="dxa" w:w="60"/>
              <w:left w:type="dxa" w:w="120"/>
              <w:bottom w:type="dxa" w:w="60"/>
              <w:right w:type="dxa" w:w="120"/>
            </w:tcMar>
          </w:tcPr>
          <w:p>
            <w:r>
              <w:rPr>
                <w:sz w:val="21"/>
                <w:szCs w:val="21"/>
              </w:rPr>
              <w:t xml:space="preserve">SSO, SLA, dedicated support, custom integrations</w:t>
            </w:r>
          </w:p>
        </w:tc>
      </w:tr>
    </w:tbl>
    <w:p>
      <w:pPr>
        <w:spacing w:after="200"/>
      </w:pPr>
    </w:p>
    <w:p>
      <w:pPr>
        <w:pStyle w:val="Heading3"/>
        <w:spacing w:after="120" w:before="240" w:line="312"/>
      </w:pPr>
      <w:bookmarkStart w:id="100068" w:name="_Toc100068"/>
      <w:r>
        <w:rPr>
          <w:rFonts w:ascii="Calibri" w:eastAsia="SimHei"/>
          <w:b/>
          <w:bCs/>
          <w:color w:val="1A2330"/>
          <w:sz w:val="24"/>
          <w:szCs w:val="24"/>
        </w:rPr>
        <w:t xml:space="preserve">Compute Credits</w:t>
      </w:r>
      <w:bookmarkEnd w:id="100068"/>
    </w:p>
    <w:p>
      <w:pPr>
        <w:spacing w:after="120" w:line="312"/>
        <w:ind w:firstLine="480"/>
        <w:jc w:val="both"/>
      </w:pPr>
      <w:r>
        <w:rPr>
          <w:rFonts w:ascii="Times New Roman" w:eastAsia="Microsoft YaHei"/>
          <w:color w:val="2C3E50"/>
          <w:sz w:val="24"/>
          <w:szCs w:val="24"/>
        </w:rPr>
        <w:t xml:space="preserve">Heavy computational workloads beyond subscription allowances are billed via prepaid or postpaid compute credits. This consumption-based model aligns costs with actual usage while providing predictable budgeting for regular users.</w:t>
      </w:r>
    </w:p>
    <w:p>
      <w:pPr>
        <w:pStyle w:val="Heading3"/>
        <w:spacing w:after="120" w:before="240" w:line="312"/>
      </w:pPr>
      <w:bookmarkStart w:id="100069" w:name="_Toc100069"/>
      <w:r>
        <w:rPr>
          <w:rFonts w:ascii="Calibri" w:eastAsia="SimHei"/>
          <w:b/>
          <w:bCs/>
          <w:color w:val="1A2330"/>
          <w:sz w:val="24"/>
          <w:szCs w:val="24"/>
        </w:rPr>
        <w:t xml:space="preserve">Marketplace Commissions</w:t>
      </w:r>
      <w:bookmarkEnd w:id="100069"/>
    </w:p>
    <w:p>
      <w:pPr>
        <w:spacing w:after="120" w:line="312"/>
        <w:ind w:firstLine="480"/>
        <w:jc w:val="both"/>
      </w:pPr>
      <w:r>
        <w:rPr>
          <w:rFonts w:ascii="Times New Roman" w:eastAsia="Microsoft YaHei"/>
          <w:color w:val="2C3E50"/>
          <w:sz w:val="24"/>
          <w:szCs w:val="24"/>
        </w:rPr>
        <w:t xml:space="preserve">Third-party developers can publish tools, datasets, and templates on the AETH-1 Marketplace. Endeavor Science earns 20-30% commission on transactions, creating a platform ecosystem effect.</w:t>
      </w:r>
    </w:p>
    <w:p>
      <w:pPr>
        <w:pStyle w:val="Heading3"/>
        <w:spacing w:after="120" w:before="240" w:line="312"/>
      </w:pPr>
      <w:bookmarkStart w:id="100070" w:name="_Toc100070"/>
      <w:r>
        <w:rPr>
          <w:rFonts w:ascii="Calibri" w:eastAsia="SimHei"/>
          <w:b/>
          <w:bCs/>
          <w:color w:val="1A2330"/>
          <w:sz w:val="24"/>
          <w:szCs w:val="24"/>
        </w:rPr>
        <w:t xml:space="preserve">Training &amp; Certification</w:t>
      </w:r>
      <w:bookmarkEnd w:id="100070"/>
    </w:p>
    <w:p>
      <w:pPr>
        <w:spacing w:after="120" w:line="312"/>
        <w:ind w:firstLine="480"/>
        <w:jc w:val="both"/>
      </w:pPr>
      <w:r>
        <w:rPr>
          <w:rFonts w:ascii="Times New Roman" w:eastAsia="Microsoft YaHei"/>
          <w:color w:val="2C3E50"/>
          <w:sz w:val="24"/>
          <w:szCs w:val="24"/>
        </w:rPr>
        <w:t xml:space="preserve">Official AETH-1 certification programs generate revenue while expanding the skilled user base. Corporate training packages provide higher-margin B2B revenue.</w:t>
      </w:r>
    </w:p>
    <w:p>
      <w:pPr>
        <w:pStyle w:val="Heading3"/>
        <w:spacing w:after="120" w:before="240" w:line="312"/>
      </w:pPr>
      <w:bookmarkStart w:id="100071" w:name="_Toc100071"/>
      <w:r>
        <w:rPr>
          <w:rFonts w:ascii="Calibri" w:eastAsia="SimHei"/>
          <w:b/>
          <w:bCs/>
          <w:color w:val="1A2330"/>
          <w:sz w:val="24"/>
          <w:szCs w:val="24"/>
        </w:rPr>
        <w:t xml:space="preserve">Professional Services</w:t>
      </w:r>
      <w:bookmarkEnd w:id="100071"/>
    </w:p>
    <w:p>
      <w:pPr>
        <w:spacing w:after="120" w:line="312"/>
        <w:ind w:firstLine="480"/>
        <w:jc w:val="both"/>
      </w:pPr>
      <w:r>
        <w:rPr>
          <w:rFonts w:ascii="Times New Roman" w:eastAsia="Microsoft YaHei"/>
          <w:color w:val="2C3E50"/>
          <w:sz w:val="24"/>
          <w:szCs w:val="24"/>
        </w:rPr>
        <w:t xml:space="preserve">Custom implementations, workflow migration, and dedicated consulting engagements serve enterprise clients with specialized requirements. Targeting 15-20% gross margin contribution.</w:t>
      </w:r>
    </w:p>
    <w:p>
      <w:pPr>
        <w:pStyle w:val="Heading2"/>
        <w:spacing w:after="160" w:before="300" w:line="312"/>
      </w:pPr>
      <w:bookmarkStart w:id="100072" w:name="_Toc100072"/>
      <w:r>
        <w:rPr>
          <w:rFonts w:ascii="Calibri" w:eastAsia="SimHei"/>
          <w:b/>
          <w:bCs/>
          <w:color w:val="1A2330"/>
          <w:sz w:val="28"/>
          <w:szCs w:val="28"/>
        </w:rPr>
        <w:t xml:space="preserve">6.2 Pricing Strategy</w:t>
      </w:r>
      <w:bookmarkEnd w:id="100072"/>
    </w:p>
    <w:p>
      <w:pPr>
        <w:spacing w:after="120" w:line="312"/>
        <w:ind w:firstLine="480"/>
        <w:jc w:val="both"/>
      </w:pPr>
      <w:r>
        <w:rPr>
          <w:rFonts w:ascii="Times New Roman" w:eastAsia="Microsoft YaHei"/>
          <w:color w:val="2C3E50"/>
          <w:sz w:val="24"/>
          <w:szCs w:val="24"/>
        </w:rPr>
        <w:t xml:space="preserve">Our pricing philosophy balances accessibility with sustainability: Free tier ensures no researcher is excluded for financial reasons; Pro tier provides affordable individual access below competitor pricing; Team tier encourages organizational adoption with per-seat economies; Enterprise tier captures maximum value from large deployments with premium services.</w:t>
      </w:r>
    </w:p>
    <w:p>
      <w:pPr>
        <w:spacing w:after="120" w:line="312"/>
        <w:ind w:firstLine="480"/>
        <w:jc w:val="both"/>
      </w:pPr>
      <w:r>
        <w:rPr>
          <w:rFonts w:ascii="Times New Roman" w:eastAsia="Microsoft YaHei"/>
          <w:color w:val="2C3E50"/>
          <w:sz w:val="24"/>
          <w:szCs w:val="24"/>
        </w:rPr>
        <w:t xml:space="preserve">Competitive positioning places AETH-1 Pro at 40-60% below equivalent legacy tool costs while delivering superior functionality. This aggressive pricing drives adoption during market entry phase.</w:t>
      </w:r>
    </w:p>
    <w:p>
      <w:pPr>
        <w:pStyle w:val="Heading2"/>
        <w:spacing w:after="160" w:before="300" w:line="312"/>
      </w:pPr>
      <w:bookmarkStart w:id="100073" w:name="_Toc100073"/>
      <w:r>
        <w:rPr>
          <w:rFonts w:ascii="Calibri" w:eastAsia="SimHei"/>
          <w:b/>
          <w:bCs/>
          <w:color w:val="1A2330"/>
          <w:sz w:val="28"/>
          <w:szCs w:val="28"/>
        </w:rPr>
        <w:t xml:space="preserve">6.3 Unit Economics</w:t>
      </w:r>
      <w:bookmarkEnd w:id="100073"/>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35%"/>
            <w:shd w:fill="D4875A" w:val="clear"/>
            <w:tcMar>
              <w:top w:type="dxa" w:w="60"/>
              <w:left w:type="dxa" w:w="120"/>
              <w:bottom w:type="dxa" w:w="60"/>
              <w:right w:type="dxa" w:w="120"/>
            </w:tcMar>
          </w:tcPr>
          <w:p>
            <w:r>
              <w:rPr>
                <w:b/>
                <w:bCs/>
                <w:color w:val="FFFFFF"/>
                <w:sz w:val="21"/>
                <w:szCs w:val="21"/>
              </w:rPr>
              <w:t xml:space="preserve">Metric</w:t>
            </w:r>
          </w:p>
        </w:tc>
        <w:tc>
          <w:tcPr>
            <w:tcW w:type="pct" w:w="22%"/>
            <w:shd w:fill="D4875A" w:val="clear"/>
            <w:tcMar>
              <w:top w:type="dxa" w:w="60"/>
              <w:left w:type="dxa" w:w="120"/>
              <w:bottom w:type="dxa" w:w="60"/>
              <w:right w:type="dxa" w:w="120"/>
            </w:tcMar>
          </w:tcPr>
          <w:p>
            <w:r>
              <w:rPr>
                <w:b/>
                <w:bCs/>
                <w:color w:val="FFFFFF"/>
                <w:sz w:val="21"/>
                <w:szCs w:val="21"/>
              </w:rPr>
              <w:t xml:space="preserve">Value</w:t>
            </w:r>
          </w:p>
        </w:tc>
        <w:tc>
          <w:tcPr>
            <w:tcW w:type="pct" w:w="43%"/>
            <w:shd w:fill="D4875A" w:val="clear"/>
            <w:tcMar>
              <w:top w:type="dxa" w:w="60"/>
              <w:left w:type="dxa" w:w="120"/>
              <w:bottom w:type="dxa" w:w="60"/>
              <w:right w:type="dxa" w:w="120"/>
            </w:tcMar>
          </w:tcPr>
          <w:p>
            <w:r>
              <w:rPr>
                <w:b/>
                <w:bCs/>
                <w:color w:val="FFFFFF"/>
                <w:sz w:val="21"/>
                <w:szCs w:val="21"/>
              </w:rPr>
              <w:t xml:space="preserve">Notes</w:t>
            </w:r>
          </w:p>
        </w:tc>
      </w:tr>
      <w:tr>
        <w:trPr>
          <w:cantSplit/>
        </w:trPr>
        <w:tc>
          <w:tcPr>
            <w:tcW w:type="pct" w:w="35%"/>
            <w:shd w:fill="F8F0EB" w:val="clear"/>
            <w:tcMar>
              <w:top w:type="dxa" w:w="60"/>
              <w:left w:type="dxa" w:w="120"/>
              <w:bottom w:type="dxa" w:w="60"/>
              <w:right w:type="dxa" w:w="120"/>
            </w:tcMar>
          </w:tcPr>
          <w:p>
            <w:r>
              <w:rPr>
                <w:sz w:val="21"/>
                <w:szCs w:val="21"/>
              </w:rPr>
              <w:t xml:space="preserve">Customer Acquisition Cost (CAC)</w:t>
            </w:r>
          </w:p>
        </w:tc>
        <w:tc>
          <w:tcPr>
            <w:tcW w:type="pct" w:w="22%"/>
            <w:shd w:fill="F8F0EB" w:val="clear"/>
            <w:tcMar>
              <w:top w:type="dxa" w:w="60"/>
              <w:left w:type="dxa" w:w="120"/>
              <w:bottom w:type="dxa" w:w="60"/>
              <w:right w:type="dxa" w:w="120"/>
            </w:tcMar>
          </w:tcPr>
          <w:p>
            <w:r>
              <w:rPr>
                <w:sz w:val="21"/>
                <w:szCs w:val="21"/>
              </w:rPr>
              <w:t xml:space="preserve">$850</w:t>
            </w:r>
          </w:p>
        </w:tc>
        <w:tc>
          <w:tcPr>
            <w:tcW w:type="pct" w:w="43%"/>
            <w:shd w:fill="F8F0EB" w:val="clear"/>
            <w:tcMar>
              <w:top w:type="dxa" w:w="60"/>
              <w:left w:type="dxa" w:w="120"/>
              <w:bottom w:type="dxa" w:w="60"/>
              <w:right w:type="dxa" w:w="120"/>
            </w:tcMar>
          </w:tcPr>
          <w:p>
            <w:r>
              <w:rPr>
                <w:sz w:val="21"/>
                <w:szCs w:val="21"/>
              </w:rPr>
              <w:t xml:space="preserve">Blended across channels</w:t>
            </w:r>
          </w:p>
        </w:tc>
      </w:tr>
      <w:tr>
        <w:trPr>
          <w:cantSplit/>
        </w:trPr>
        <w:tc>
          <w:tcPr>
            <w:tcW w:type="pct" w:w="35%"/>
            <w:shd w:fill="FFFFFF" w:val="clear"/>
            <w:tcMar>
              <w:top w:type="dxa" w:w="60"/>
              <w:left w:type="dxa" w:w="120"/>
              <w:bottom w:type="dxa" w:w="60"/>
              <w:right w:type="dxa" w:w="120"/>
            </w:tcMar>
          </w:tcPr>
          <w:p>
            <w:r>
              <w:rPr>
                <w:sz w:val="21"/>
                <w:szCs w:val="21"/>
              </w:rPr>
              <w:t xml:space="preserve">Customer Lifetime Value (LTV)</w:t>
            </w:r>
          </w:p>
        </w:tc>
        <w:tc>
          <w:tcPr>
            <w:tcW w:type="pct" w:w="22%"/>
            <w:shd w:fill="FFFFFF" w:val="clear"/>
            <w:tcMar>
              <w:top w:type="dxa" w:w="60"/>
              <w:left w:type="dxa" w:w="120"/>
              <w:bottom w:type="dxa" w:w="60"/>
              <w:right w:type="dxa" w:w="120"/>
            </w:tcMar>
          </w:tcPr>
          <w:p>
            <w:r>
              <w:rPr>
                <w:sz w:val="21"/>
                <w:szCs w:val="21"/>
              </w:rPr>
              <w:t xml:space="preserve">$4,200</w:t>
            </w:r>
          </w:p>
        </w:tc>
        <w:tc>
          <w:tcPr>
            <w:tcW w:type="pct" w:w="43%"/>
            <w:shd w:fill="FFFFFF" w:val="clear"/>
            <w:tcMar>
              <w:top w:type="dxa" w:w="60"/>
              <w:left w:type="dxa" w:w="120"/>
              <w:bottom w:type="dxa" w:w="60"/>
              <w:right w:type="dxa" w:w="120"/>
            </w:tcMar>
          </w:tcPr>
          <w:p>
            <w:r>
              <w:rPr>
                <w:sz w:val="21"/>
                <w:szCs w:val="21"/>
              </w:rPr>
              <w:t xml:space="preserve">Based on 36-month avg retention</w:t>
            </w:r>
          </w:p>
        </w:tc>
      </w:tr>
      <w:tr>
        <w:trPr>
          <w:cantSplit/>
        </w:trPr>
        <w:tc>
          <w:tcPr>
            <w:tcW w:type="pct" w:w="35%"/>
            <w:shd w:fill="F8F0EB" w:val="clear"/>
            <w:tcMar>
              <w:top w:type="dxa" w:w="60"/>
              <w:left w:type="dxa" w:w="120"/>
              <w:bottom w:type="dxa" w:w="60"/>
              <w:right w:type="dxa" w:w="120"/>
            </w:tcMar>
          </w:tcPr>
          <w:p>
            <w:r>
              <w:rPr>
                <w:sz w:val="21"/>
                <w:szCs w:val="21"/>
              </w:rPr>
              <w:t xml:space="preserve">LTV:CAC Ratio</w:t>
            </w:r>
          </w:p>
        </w:tc>
        <w:tc>
          <w:tcPr>
            <w:tcW w:type="pct" w:w="22%"/>
            <w:shd w:fill="F8F0EB" w:val="clear"/>
            <w:tcMar>
              <w:top w:type="dxa" w:w="60"/>
              <w:left w:type="dxa" w:w="120"/>
              <w:bottom w:type="dxa" w:w="60"/>
              <w:right w:type="dxa" w:w="120"/>
            </w:tcMar>
          </w:tcPr>
          <w:p>
            <w:r>
              <w:rPr>
                <w:sz w:val="21"/>
                <w:szCs w:val="21"/>
              </w:rPr>
              <w:t xml:space="preserve">4.9:1</w:t>
            </w:r>
          </w:p>
        </w:tc>
        <w:tc>
          <w:tcPr>
            <w:tcW w:type="pct" w:w="43%"/>
            <w:shd w:fill="F8F0EB" w:val="clear"/>
            <w:tcMar>
              <w:top w:type="dxa" w:w="60"/>
              <w:left w:type="dxa" w:w="120"/>
              <w:bottom w:type="dxa" w:w="60"/>
              <w:right w:type="dxa" w:w="120"/>
            </w:tcMar>
          </w:tcPr>
          <w:p>
            <w:r>
              <w:rPr>
                <w:sz w:val="21"/>
                <w:szCs w:val="21"/>
              </w:rPr>
              <w:t xml:space="preserve">Target &gt;3:1 for healthy unit economics</w:t>
            </w:r>
          </w:p>
        </w:tc>
      </w:tr>
      <w:tr>
        <w:trPr>
          <w:cantSplit/>
        </w:trPr>
        <w:tc>
          <w:tcPr>
            <w:tcW w:type="pct" w:w="35%"/>
            <w:shd w:fill="FFFFFF" w:val="clear"/>
            <w:tcMar>
              <w:top w:type="dxa" w:w="60"/>
              <w:left w:type="dxa" w:w="120"/>
              <w:bottom w:type="dxa" w:w="60"/>
              <w:right w:type="dxa" w:w="120"/>
            </w:tcMar>
          </w:tcPr>
          <w:p>
            <w:r>
              <w:rPr>
                <w:sz w:val="21"/>
                <w:szCs w:val="21"/>
              </w:rPr>
              <w:t xml:space="preserve">Gross Margin</w:t>
            </w:r>
          </w:p>
        </w:tc>
        <w:tc>
          <w:tcPr>
            <w:tcW w:type="pct" w:w="22%"/>
            <w:shd w:fill="FFFFFF" w:val="clear"/>
            <w:tcMar>
              <w:top w:type="dxa" w:w="60"/>
              <w:left w:type="dxa" w:w="120"/>
              <w:bottom w:type="dxa" w:w="60"/>
              <w:right w:type="dxa" w:w="120"/>
            </w:tcMar>
          </w:tcPr>
          <w:p>
            <w:r>
              <w:rPr>
                <w:sz w:val="21"/>
                <w:szCs w:val="21"/>
              </w:rPr>
              <w:t xml:space="preserve">78%</w:t>
            </w:r>
          </w:p>
        </w:tc>
        <w:tc>
          <w:tcPr>
            <w:tcW w:type="pct" w:w="43%"/>
            <w:shd w:fill="FFFFFF" w:val="clear"/>
            <w:tcMar>
              <w:top w:type="dxa" w:w="60"/>
              <w:left w:type="dxa" w:w="120"/>
              <w:bottom w:type="dxa" w:w="60"/>
              <w:right w:type="dxa" w:w="120"/>
            </w:tcMar>
          </w:tcPr>
          <w:p>
            <w:r>
              <w:rPr>
                <w:sz w:val="21"/>
                <w:szCs w:val="21"/>
              </w:rPr>
              <w:t xml:space="preserve">Excluding compute pass-through costs</w:t>
            </w:r>
          </w:p>
        </w:tc>
      </w:tr>
      <w:tr>
        <w:trPr>
          <w:cantSplit/>
        </w:trPr>
        <w:tc>
          <w:tcPr>
            <w:tcW w:type="pct" w:w="35%"/>
            <w:shd w:fill="F8F0EB" w:val="clear"/>
            <w:tcMar>
              <w:top w:type="dxa" w:w="60"/>
              <w:left w:type="dxa" w:w="120"/>
              <w:bottom w:type="dxa" w:w="60"/>
              <w:right w:type="dxa" w:w="120"/>
            </w:tcMar>
          </w:tcPr>
          <w:p>
            <w:r>
              <w:rPr>
                <w:sz w:val="21"/>
                <w:szCs w:val="21"/>
              </w:rPr>
              <w:t xml:space="preserve">Net Revenue Retention</w:t>
            </w:r>
          </w:p>
        </w:tc>
        <w:tc>
          <w:tcPr>
            <w:tcW w:type="pct" w:w="22%"/>
            <w:shd w:fill="F8F0EB" w:val="clear"/>
            <w:tcMar>
              <w:top w:type="dxa" w:w="60"/>
              <w:left w:type="dxa" w:w="120"/>
              <w:bottom w:type="dxa" w:w="60"/>
              <w:right w:type="dxa" w:w="120"/>
            </w:tcMar>
          </w:tcPr>
          <w:p>
            <w:r>
              <w:rPr>
                <w:sz w:val="21"/>
                <w:szCs w:val="21"/>
              </w:rPr>
              <w:t xml:space="preserve">115%</w:t>
            </w:r>
          </w:p>
        </w:tc>
        <w:tc>
          <w:tcPr>
            <w:tcW w:type="pct" w:w="43%"/>
            <w:shd w:fill="F8F0EB" w:val="clear"/>
            <w:tcMar>
              <w:top w:type="dxa" w:w="60"/>
              <w:left w:type="dxa" w:w="120"/>
              <w:bottom w:type="dxa" w:w="60"/>
              <w:right w:type="dxa" w:w="120"/>
            </w:tcMar>
          </w:tcPr>
          <w:p>
            <w:r>
              <w:rPr>
                <w:sz w:val="21"/>
                <w:szCs w:val="21"/>
              </w:rPr>
              <w:t xml:space="preserve">Expansion revenue offsets churn</w:t>
            </w:r>
          </w:p>
        </w:tc>
      </w:tr>
    </w:tbl>
    <w:p>
      <w:pPr>
        <w:spacing w:after="200"/>
      </w:pPr>
    </w:p>
    <w:p>
      <w:pPr>
        <w:pStyle w:val="Heading2"/>
        <w:spacing w:after="160" w:before="300" w:line="312"/>
      </w:pPr>
      <w:bookmarkStart w:id="100074" w:name="_Toc100074"/>
      <w:r>
        <w:rPr>
          <w:rFonts w:ascii="Calibri" w:eastAsia="SimHei"/>
          <w:b/>
          <w:bCs/>
          <w:color w:val="1A2330"/>
          <w:sz w:val="28"/>
          <w:szCs w:val="28"/>
        </w:rPr>
        <w:t xml:space="preserve">6.4 Financial Projections (5 Years)</w:t>
      </w:r>
      <w:bookmarkEnd w:id="100074"/>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gridCol w:w="100"/>
      </w:tblGrid>
      <w:tr>
        <w:trPr>
          <w:cantSplit/>
          <w:tblHeader/>
        </w:trPr>
        <w:tc>
          <w:tcPr>
            <w:tcW w:type="pct" w:w="22%"/>
            <w:shd w:fill="D4875A" w:val="clear"/>
            <w:tcMar>
              <w:top w:type="dxa" w:w="60"/>
              <w:left w:type="dxa" w:w="120"/>
              <w:bottom w:type="dxa" w:w="60"/>
              <w:right w:type="dxa" w:w="120"/>
            </w:tcMar>
          </w:tcPr>
          <w:p>
            <w:r>
              <w:rPr>
                <w:b/>
                <w:bCs/>
                <w:color w:val="FFFFFF"/>
                <w:sz w:val="21"/>
                <w:szCs w:val="21"/>
              </w:rPr>
              <w:t xml:space="preserve">Metric</w:t>
            </w:r>
          </w:p>
        </w:tc>
        <w:tc>
          <w:tcPr>
            <w:tcW w:type="pct" w:w="13%"/>
            <w:shd w:fill="D4875A" w:val="clear"/>
            <w:tcMar>
              <w:top w:type="dxa" w:w="60"/>
              <w:left w:type="dxa" w:w="120"/>
              <w:bottom w:type="dxa" w:w="60"/>
              <w:right w:type="dxa" w:w="120"/>
            </w:tcMar>
          </w:tcPr>
          <w:p>
            <w:r>
              <w:rPr>
                <w:b/>
                <w:bCs/>
                <w:color w:val="FFFFFF"/>
                <w:sz w:val="21"/>
                <w:szCs w:val="21"/>
              </w:rPr>
              <w:t xml:space="preserve">Year 1</w:t>
            </w:r>
          </w:p>
        </w:tc>
        <w:tc>
          <w:tcPr>
            <w:tcW w:type="pct" w:w="13%"/>
            <w:shd w:fill="D4875A" w:val="clear"/>
            <w:tcMar>
              <w:top w:type="dxa" w:w="60"/>
              <w:left w:type="dxa" w:w="120"/>
              <w:bottom w:type="dxa" w:w="60"/>
              <w:right w:type="dxa" w:w="120"/>
            </w:tcMar>
          </w:tcPr>
          <w:p>
            <w:r>
              <w:rPr>
                <w:b/>
                <w:bCs/>
                <w:color w:val="FFFFFF"/>
                <w:sz w:val="21"/>
                <w:szCs w:val="21"/>
              </w:rPr>
              <w:t xml:space="preserve">Year 2</w:t>
            </w:r>
          </w:p>
        </w:tc>
        <w:tc>
          <w:tcPr>
            <w:tcW w:type="pct" w:w="16%"/>
            <w:shd w:fill="D4875A" w:val="clear"/>
            <w:tcMar>
              <w:top w:type="dxa" w:w="60"/>
              <w:left w:type="dxa" w:w="120"/>
              <w:bottom w:type="dxa" w:w="60"/>
              <w:right w:type="dxa" w:w="120"/>
            </w:tcMar>
          </w:tcPr>
          <w:p>
            <w:r>
              <w:rPr>
                <w:b/>
                <w:bCs/>
                <w:color w:val="FFFFFF"/>
                <w:sz w:val="21"/>
                <w:szCs w:val="21"/>
              </w:rPr>
              <w:t xml:space="preserve">Year 3</w:t>
            </w:r>
          </w:p>
        </w:tc>
        <w:tc>
          <w:tcPr>
            <w:tcW w:type="pct" w:w="17%"/>
            <w:shd w:fill="D4875A" w:val="clear"/>
            <w:tcMar>
              <w:top w:type="dxa" w:w="60"/>
              <w:left w:type="dxa" w:w="120"/>
              <w:bottom w:type="dxa" w:w="60"/>
              <w:right w:type="dxa" w:w="120"/>
            </w:tcMar>
          </w:tcPr>
          <w:p>
            <w:r>
              <w:rPr>
                <w:b/>
                <w:bCs/>
                <w:color w:val="FFFFFF"/>
                <w:sz w:val="21"/>
                <w:szCs w:val="21"/>
              </w:rPr>
              <w:t xml:space="preserve">Year 4</w:t>
            </w:r>
          </w:p>
        </w:tc>
        <w:tc>
          <w:tcPr>
            <w:tcW w:type="pct" w:w="19%"/>
            <w:shd w:fill="D4875A" w:val="clear"/>
            <w:tcMar>
              <w:top w:type="dxa" w:w="60"/>
              <w:left w:type="dxa" w:w="120"/>
              <w:bottom w:type="dxa" w:w="60"/>
              <w:right w:type="dxa" w:w="120"/>
            </w:tcMar>
          </w:tcPr>
          <w:p>
            <w:r>
              <w:rPr>
                <w:b/>
                <w:bCs/>
                <w:color w:val="FFFFFF"/>
                <w:sz w:val="21"/>
                <w:szCs w:val="21"/>
              </w:rPr>
              <w:t xml:space="preserve">Year 5</w:t>
            </w:r>
          </w:p>
        </w:tc>
      </w:tr>
      <w:tr>
        <w:trPr>
          <w:cantSplit/>
        </w:trPr>
        <w:tc>
          <w:tcPr>
            <w:tcW w:type="pct" w:w="22%"/>
            <w:shd w:fill="F8F0EB" w:val="clear"/>
            <w:tcMar>
              <w:top w:type="dxa" w:w="60"/>
              <w:left w:type="dxa" w:w="120"/>
              <w:bottom w:type="dxa" w:w="60"/>
              <w:right w:type="dxa" w:w="120"/>
            </w:tcMar>
          </w:tcPr>
          <w:p>
            <w:r>
              <w:rPr>
                <w:sz w:val="21"/>
                <w:szCs w:val="21"/>
              </w:rPr>
              <w:t xml:space="preserve">Revenue</w:t>
            </w:r>
          </w:p>
        </w:tc>
        <w:tc>
          <w:tcPr>
            <w:tcW w:type="pct" w:w="13%"/>
            <w:shd w:fill="F8F0EB" w:val="clear"/>
            <w:tcMar>
              <w:top w:type="dxa" w:w="60"/>
              <w:left w:type="dxa" w:w="120"/>
              <w:bottom w:type="dxa" w:w="60"/>
              <w:right w:type="dxa" w:w="120"/>
            </w:tcMar>
          </w:tcPr>
          <w:p>
            <w:r>
              <w:rPr>
                <w:sz w:val="21"/>
                <w:szCs w:val="21"/>
              </w:rPr>
              <w:t xml:space="preserve">$1.2M</w:t>
            </w:r>
          </w:p>
        </w:tc>
        <w:tc>
          <w:tcPr>
            <w:tcW w:type="pct" w:w="13%"/>
            <w:shd w:fill="F8F0EB" w:val="clear"/>
            <w:tcMar>
              <w:top w:type="dxa" w:w="60"/>
              <w:left w:type="dxa" w:w="120"/>
              <w:bottom w:type="dxa" w:w="60"/>
              <w:right w:type="dxa" w:w="120"/>
            </w:tcMar>
          </w:tcPr>
          <w:p>
            <w:r>
              <w:rPr>
                <w:sz w:val="21"/>
                <w:szCs w:val="21"/>
              </w:rPr>
              <w:t xml:space="preserve">$4.7M</w:t>
            </w:r>
          </w:p>
        </w:tc>
        <w:tc>
          <w:tcPr>
            <w:tcW w:type="pct" w:w="16%"/>
            <w:shd w:fill="F8F0EB" w:val="clear"/>
            <w:tcMar>
              <w:top w:type="dxa" w:w="60"/>
              <w:left w:type="dxa" w:w="120"/>
              <w:bottom w:type="dxa" w:w="60"/>
              <w:right w:type="dxa" w:w="120"/>
            </w:tcMar>
          </w:tcPr>
          <w:p>
            <w:r>
              <w:rPr>
                <w:sz w:val="21"/>
                <w:szCs w:val="21"/>
              </w:rPr>
              <w:t xml:space="preserve">$18M</w:t>
            </w:r>
          </w:p>
        </w:tc>
        <w:tc>
          <w:tcPr>
            <w:tcW w:type="pct" w:w="17%"/>
            <w:shd w:fill="F8F0EB" w:val="clear"/>
            <w:tcMar>
              <w:top w:type="dxa" w:w="60"/>
              <w:left w:type="dxa" w:w="120"/>
              <w:bottom w:type="dxa" w:w="60"/>
              <w:right w:type="dxa" w:w="120"/>
            </w:tcMar>
          </w:tcPr>
          <w:p>
            <w:r>
              <w:rPr>
                <w:sz w:val="21"/>
                <w:szCs w:val="21"/>
              </w:rPr>
              <w:t xml:space="preserve">$42M</w:t>
            </w:r>
          </w:p>
        </w:tc>
        <w:tc>
          <w:tcPr>
            <w:tcW w:type="pct" w:w="19%"/>
            <w:shd w:fill="F8F0EB" w:val="clear"/>
            <w:tcMar>
              <w:top w:type="dxa" w:w="60"/>
              <w:left w:type="dxa" w:w="120"/>
              <w:bottom w:type="dxa" w:w="60"/>
              <w:right w:type="dxa" w:w="120"/>
            </w:tcMar>
          </w:tcPr>
          <w:p>
            <w:r>
              <w:rPr>
                <w:sz w:val="21"/>
                <w:szCs w:val="21"/>
              </w:rPr>
              <w:t xml:space="preserve">$85M</w:t>
            </w:r>
          </w:p>
        </w:tc>
      </w:tr>
      <w:tr>
        <w:trPr>
          <w:cantSplit/>
        </w:trPr>
        <w:tc>
          <w:tcPr>
            <w:tcW w:type="pct" w:w="22%"/>
            <w:shd w:fill="FFFFFF" w:val="clear"/>
            <w:tcMar>
              <w:top w:type="dxa" w:w="60"/>
              <w:left w:type="dxa" w:w="120"/>
              <w:bottom w:type="dxa" w:w="60"/>
              <w:right w:type="dxa" w:w="120"/>
            </w:tcMar>
          </w:tcPr>
          <w:p>
            <w:r>
              <w:rPr>
                <w:sz w:val="21"/>
                <w:szCs w:val="21"/>
              </w:rPr>
              <w:t xml:space="preserve">Subscription</w:t>
            </w:r>
          </w:p>
        </w:tc>
        <w:tc>
          <w:tcPr>
            <w:tcW w:type="pct" w:w="13%"/>
            <w:shd w:fill="FFFFFF" w:val="clear"/>
            <w:tcMar>
              <w:top w:type="dxa" w:w="60"/>
              <w:left w:type="dxa" w:w="120"/>
              <w:bottom w:type="dxa" w:w="60"/>
              <w:right w:type="dxa" w:w="120"/>
            </w:tcMar>
          </w:tcPr>
          <w:p>
            <w:r>
              <w:rPr>
                <w:sz w:val="21"/>
                <w:szCs w:val="21"/>
              </w:rPr>
              <w:t xml:space="preserve">$0.7M</w:t>
            </w:r>
          </w:p>
        </w:tc>
        <w:tc>
          <w:tcPr>
            <w:tcW w:type="pct" w:w="13%"/>
            <w:shd w:fill="FFFFFF" w:val="clear"/>
            <w:tcMar>
              <w:top w:type="dxa" w:w="60"/>
              <w:left w:type="dxa" w:w="120"/>
              <w:bottom w:type="dxa" w:w="60"/>
              <w:right w:type="dxa" w:w="120"/>
            </w:tcMar>
          </w:tcPr>
          <w:p>
            <w:r>
              <w:rPr>
                <w:sz w:val="21"/>
                <w:szCs w:val="21"/>
              </w:rPr>
              <w:t xml:space="preserve">$3.2M</w:t>
            </w:r>
          </w:p>
        </w:tc>
        <w:tc>
          <w:tcPr>
            <w:tcW w:type="pct" w:w="16%"/>
            <w:shd w:fill="FFFFFF" w:val="clear"/>
            <w:tcMar>
              <w:top w:type="dxa" w:w="60"/>
              <w:left w:type="dxa" w:w="120"/>
              <w:bottom w:type="dxa" w:w="60"/>
              <w:right w:type="dxa" w:w="120"/>
            </w:tcMar>
          </w:tcPr>
          <w:p>
            <w:r>
              <w:rPr>
                <w:sz w:val="21"/>
                <w:szCs w:val="21"/>
              </w:rPr>
              <w:t xml:space="preserve">$13M</w:t>
            </w:r>
          </w:p>
        </w:tc>
        <w:tc>
          <w:tcPr>
            <w:tcW w:type="pct" w:w="17%"/>
            <w:shd w:fill="FFFFFF" w:val="clear"/>
            <w:tcMar>
              <w:top w:type="dxa" w:w="60"/>
              <w:left w:type="dxa" w:w="120"/>
              <w:bottom w:type="dxa" w:w="60"/>
              <w:right w:type="dxa" w:w="120"/>
            </w:tcMar>
          </w:tcPr>
          <w:p>
            <w:r>
              <w:rPr>
                <w:sz w:val="21"/>
                <w:szCs w:val="21"/>
              </w:rPr>
              <w:t xml:space="preserve">$31M</w:t>
            </w:r>
          </w:p>
        </w:tc>
        <w:tc>
          <w:tcPr>
            <w:tcW w:type="pct" w:w="19%"/>
            <w:shd w:fill="FFFFFF" w:val="clear"/>
            <w:tcMar>
              <w:top w:type="dxa" w:w="60"/>
              <w:left w:type="dxa" w:w="120"/>
              <w:bottom w:type="dxa" w:w="60"/>
              <w:right w:type="dxa" w:w="120"/>
            </w:tcMar>
          </w:tcPr>
          <w:p>
            <w:r>
              <w:rPr>
                <w:sz w:val="21"/>
                <w:szCs w:val="21"/>
              </w:rPr>
              <w:t xml:space="preserve">$62M</w:t>
            </w:r>
          </w:p>
        </w:tc>
      </w:tr>
      <w:tr>
        <w:trPr>
          <w:cantSplit/>
        </w:trPr>
        <w:tc>
          <w:tcPr>
            <w:tcW w:type="pct" w:w="22%"/>
            <w:shd w:fill="F8F0EB" w:val="clear"/>
            <w:tcMar>
              <w:top w:type="dxa" w:w="60"/>
              <w:left w:type="dxa" w:w="120"/>
              <w:bottom w:type="dxa" w:w="60"/>
              <w:right w:type="dxa" w:w="120"/>
            </w:tcMar>
          </w:tcPr>
          <w:p>
            <w:r>
              <w:rPr>
                <w:sz w:val="21"/>
                <w:szCs w:val="21"/>
              </w:rPr>
              <w:t xml:space="preserve">Compute/Other</w:t>
            </w:r>
          </w:p>
        </w:tc>
        <w:tc>
          <w:tcPr>
            <w:tcW w:type="pct" w:w="13%"/>
            <w:shd w:fill="F8F0EB" w:val="clear"/>
            <w:tcMar>
              <w:top w:type="dxa" w:w="60"/>
              <w:left w:type="dxa" w:w="120"/>
              <w:bottom w:type="dxa" w:w="60"/>
              <w:right w:type="dxa" w:w="120"/>
            </w:tcMar>
          </w:tcPr>
          <w:p>
            <w:r>
              <w:rPr>
                <w:sz w:val="21"/>
                <w:szCs w:val="21"/>
              </w:rPr>
              <w:t xml:space="preserve">$0.5M</w:t>
            </w:r>
          </w:p>
        </w:tc>
        <w:tc>
          <w:tcPr>
            <w:tcW w:type="pct" w:w="13%"/>
            <w:shd w:fill="F8F0EB" w:val="clear"/>
            <w:tcMar>
              <w:top w:type="dxa" w:w="60"/>
              <w:left w:type="dxa" w:w="120"/>
              <w:bottom w:type="dxa" w:w="60"/>
              <w:right w:type="dxa" w:w="120"/>
            </w:tcMar>
          </w:tcPr>
          <w:p>
            <w:r>
              <w:rPr>
                <w:sz w:val="21"/>
                <w:szCs w:val="21"/>
              </w:rPr>
              <w:t xml:space="preserve">$1.5M</w:t>
            </w:r>
          </w:p>
        </w:tc>
        <w:tc>
          <w:tcPr>
            <w:tcW w:type="pct" w:w="16%"/>
            <w:shd w:fill="F8F0EB" w:val="clear"/>
            <w:tcMar>
              <w:top w:type="dxa" w:w="60"/>
              <w:left w:type="dxa" w:w="120"/>
              <w:bottom w:type="dxa" w:w="60"/>
              <w:right w:type="dxa" w:w="120"/>
            </w:tcMar>
          </w:tcPr>
          <w:p>
            <w:r>
              <w:rPr>
                <w:sz w:val="21"/>
                <w:szCs w:val="21"/>
              </w:rPr>
              <w:t xml:space="preserve">$5M</w:t>
            </w:r>
          </w:p>
        </w:tc>
        <w:tc>
          <w:tcPr>
            <w:tcW w:type="pct" w:w="17%"/>
            <w:shd w:fill="F8F0EB" w:val="clear"/>
            <w:tcMar>
              <w:top w:type="dxa" w:w="60"/>
              <w:left w:type="dxa" w:w="120"/>
              <w:bottom w:type="dxa" w:w="60"/>
              <w:right w:type="dxa" w:w="120"/>
            </w:tcMar>
          </w:tcPr>
          <w:p>
            <w:r>
              <w:rPr>
                <w:sz w:val="21"/>
                <w:szCs w:val="21"/>
              </w:rPr>
              <w:t xml:space="preserve">$11M</w:t>
            </w:r>
          </w:p>
        </w:tc>
        <w:tc>
          <w:tcPr>
            <w:tcW w:type="pct" w:w="19%"/>
            <w:shd w:fill="F8F0EB" w:val="clear"/>
            <w:tcMar>
              <w:top w:type="dxa" w:w="60"/>
              <w:left w:type="dxa" w:w="120"/>
              <w:bottom w:type="dxa" w:w="60"/>
              <w:right w:type="dxa" w:w="120"/>
            </w:tcMar>
          </w:tcPr>
          <w:p>
            <w:r>
              <w:rPr>
                <w:sz w:val="21"/>
                <w:szCs w:val="21"/>
              </w:rPr>
              <w:t xml:space="preserve">$23M</w:t>
            </w:r>
          </w:p>
        </w:tc>
      </w:tr>
      <w:tr>
        <w:trPr>
          <w:cantSplit/>
        </w:trPr>
        <w:tc>
          <w:tcPr>
            <w:tcW w:type="pct" w:w="22%"/>
            <w:shd w:fill="FFFFFF" w:val="clear"/>
            <w:tcMar>
              <w:top w:type="dxa" w:w="60"/>
              <w:left w:type="dxa" w:w="120"/>
              <w:bottom w:type="dxa" w:w="60"/>
              <w:right w:type="dxa" w:w="120"/>
            </w:tcMar>
          </w:tcPr>
          <w:p>
            <w:r>
              <w:rPr>
                <w:sz w:val="21"/>
                <w:szCs w:val="21"/>
              </w:rPr>
              <w:t xml:space="preserve">Gross Profit</w:t>
            </w:r>
          </w:p>
        </w:tc>
        <w:tc>
          <w:tcPr>
            <w:tcW w:type="pct" w:w="13%"/>
            <w:shd w:fill="FFFFFF" w:val="clear"/>
            <w:tcMar>
              <w:top w:type="dxa" w:w="60"/>
              <w:left w:type="dxa" w:w="120"/>
              <w:bottom w:type="dxa" w:w="60"/>
              <w:right w:type="dxa" w:w="120"/>
            </w:tcMar>
          </w:tcPr>
          <w:p>
            <w:r>
              <w:rPr>
                <w:sz w:val="21"/>
                <w:szCs w:val="21"/>
              </w:rPr>
              <w:t xml:space="preserve">$0.9M</w:t>
            </w:r>
          </w:p>
        </w:tc>
        <w:tc>
          <w:tcPr>
            <w:tcW w:type="pct" w:w="13%"/>
            <w:shd w:fill="FFFFFF" w:val="clear"/>
            <w:tcMar>
              <w:top w:type="dxa" w:w="60"/>
              <w:left w:type="dxa" w:w="120"/>
              <w:bottom w:type="dxa" w:w="60"/>
              <w:right w:type="dxa" w:w="120"/>
            </w:tcMar>
          </w:tcPr>
          <w:p>
            <w:r>
              <w:rPr>
                <w:sz w:val="21"/>
                <w:szCs w:val="21"/>
              </w:rPr>
              <w:t xml:space="preserve">$3.7M</w:t>
            </w:r>
          </w:p>
        </w:tc>
        <w:tc>
          <w:tcPr>
            <w:tcW w:type="pct" w:w="16%"/>
            <w:shd w:fill="FFFFFF" w:val="clear"/>
            <w:tcMar>
              <w:top w:type="dxa" w:w="60"/>
              <w:left w:type="dxa" w:w="120"/>
              <w:bottom w:type="dxa" w:w="60"/>
              <w:right w:type="dxa" w:w="120"/>
            </w:tcMar>
          </w:tcPr>
          <w:p>
            <w:r>
              <w:rPr>
                <w:sz w:val="21"/>
                <w:szCs w:val="21"/>
              </w:rPr>
              <w:t xml:space="preserve">$14M</w:t>
            </w:r>
          </w:p>
        </w:tc>
        <w:tc>
          <w:tcPr>
            <w:tcW w:type="pct" w:w="17%"/>
            <w:shd w:fill="FFFFFF" w:val="clear"/>
            <w:tcMar>
              <w:top w:type="dxa" w:w="60"/>
              <w:left w:type="dxa" w:w="120"/>
              <w:bottom w:type="dxa" w:w="60"/>
              <w:right w:type="dxa" w:w="120"/>
            </w:tcMar>
          </w:tcPr>
          <w:p>
            <w:r>
              <w:rPr>
                <w:sz w:val="21"/>
                <w:szCs w:val="21"/>
              </w:rPr>
              <w:t xml:space="preserve">$33M</w:t>
            </w:r>
          </w:p>
        </w:tc>
        <w:tc>
          <w:tcPr>
            <w:tcW w:type="pct" w:w="19%"/>
            <w:shd w:fill="FFFFFF" w:val="clear"/>
            <w:tcMar>
              <w:top w:type="dxa" w:w="60"/>
              <w:left w:type="dxa" w:w="120"/>
              <w:bottom w:type="dxa" w:w="60"/>
              <w:right w:type="dxa" w:w="120"/>
            </w:tcMar>
          </w:tcPr>
          <w:p>
            <w:r>
              <w:rPr>
                <w:sz w:val="21"/>
                <w:szCs w:val="21"/>
              </w:rPr>
              <w:t xml:space="preserve">$70M</w:t>
            </w:r>
          </w:p>
        </w:tc>
      </w:tr>
      <w:tr>
        <w:trPr>
          <w:cantSplit/>
        </w:trPr>
        <w:tc>
          <w:tcPr>
            <w:tcW w:type="pct" w:w="22%"/>
            <w:shd w:fill="F8F0EB" w:val="clear"/>
            <w:tcMar>
              <w:top w:type="dxa" w:w="60"/>
              <w:left w:type="dxa" w:w="120"/>
              <w:bottom w:type="dxa" w:w="60"/>
              <w:right w:type="dxa" w:w="120"/>
            </w:tcMar>
          </w:tcPr>
          <w:p>
            <w:r>
              <w:rPr>
                <w:sz w:val="21"/>
                <w:szCs w:val="21"/>
              </w:rPr>
              <w:t xml:space="preserve">Operating Expenses</w:t>
            </w:r>
          </w:p>
        </w:tc>
        <w:tc>
          <w:tcPr>
            <w:tcW w:type="pct" w:w="13%"/>
            <w:shd w:fill="F8F0EB" w:val="clear"/>
            <w:tcMar>
              <w:top w:type="dxa" w:w="60"/>
              <w:left w:type="dxa" w:w="120"/>
              <w:bottom w:type="dxa" w:w="60"/>
              <w:right w:type="dxa" w:w="120"/>
            </w:tcMar>
          </w:tcPr>
          <w:p>
            <w:r>
              <w:rPr>
                <w:sz w:val="21"/>
                <w:szCs w:val="21"/>
              </w:rPr>
              <w:t xml:space="preserve">$4.5M</w:t>
            </w:r>
          </w:p>
        </w:tc>
        <w:tc>
          <w:tcPr>
            <w:tcW w:type="pct" w:w="13%"/>
            <w:shd w:fill="F8F0EB" w:val="clear"/>
            <w:tcMar>
              <w:top w:type="dxa" w:w="60"/>
              <w:left w:type="dxa" w:w="120"/>
              <w:bottom w:type="dxa" w:w="60"/>
              <w:right w:type="dxa" w:w="120"/>
            </w:tcMar>
          </w:tcPr>
          <w:p>
            <w:r>
              <w:rPr>
                <w:sz w:val="21"/>
                <w:szCs w:val="21"/>
              </w:rPr>
              <w:t xml:space="preserve">$9M</w:t>
            </w:r>
          </w:p>
        </w:tc>
        <w:tc>
          <w:tcPr>
            <w:tcW w:type="pct" w:w="16%"/>
            <w:shd w:fill="F8F0EB" w:val="clear"/>
            <w:tcMar>
              <w:top w:type="dxa" w:w="60"/>
              <w:left w:type="dxa" w:w="120"/>
              <w:bottom w:type="dxa" w:w="60"/>
              <w:right w:type="dxa" w:w="120"/>
            </w:tcMar>
          </w:tcPr>
          <w:p>
            <w:r>
              <w:rPr>
                <w:sz w:val="21"/>
                <w:szCs w:val="21"/>
              </w:rPr>
              <w:t xml:space="preserve">$18M</w:t>
            </w:r>
          </w:p>
        </w:tc>
        <w:tc>
          <w:tcPr>
            <w:tcW w:type="pct" w:w="17%"/>
            <w:shd w:fill="F8F0EB" w:val="clear"/>
            <w:tcMar>
              <w:top w:type="dxa" w:w="60"/>
              <w:left w:type="dxa" w:w="120"/>
              <w:bottom w:type="dxa" w:w="60"/>
              <w:right w:type="dxa" w:w="120"/>
            </w:tcMar>
          </w:tcPr>
          <w:p>
            <w:r>
              <w:rPr>
                <w:sz w:val="21"/>
                <w:szCs w:val="21"/>
              </w:rPr>
              <w:t xml:space="preserve">$32M</w:t>
            </w:r>
          </w:p>
        </w:tc>
        <w:tc>
          <w:tcPr>
            <w:tcW w:type="pct" w:w="19%"/>
            <w:shd w:fill="F8F0EB" w:val="clear"/>
            <w:tcMar>
              <w:top w:type="dxa" w:w="60"/>
              <w:left w:type="dxa" w:w="120"/>
              <w:bottom w:type="dxa" w:w="60"/>
              <w:right w:type="dxa" w:w="120"/>
            </w:tcMar>
          </w:tcPr>
          <w:p>
            <w:r>
              <w:rPr>
                <w:sz w:val="21"/>
                <w:szCs w:val="21"/>
              </w:rPr>
              <w:t xml:space="preserve">$55M</w:t>
            </w:r>
          </w:p>
        </w:tc>
      </w:tr>
      <w:tr>
        <w:trPr>
          <w:cantSplit/>
        </w:trPr>
        <w:tc>
          <w:tcPr>
            <w:tcW w:type="pct" w:w="22%"/>
            <w:shd w:fill="FFFFFF" w:val="clear"/>
            <w:tcMar>
              <w:top w:type="dxa" w:w="60"/>
              <w:left w:type="dxa" w:w="120"/>
              <w:bottom w:type="dxa" w:w="60"/>
              <w:right w:type="dxa" w:w="120"/>
            </w:tcMar>
          </w:tcPr>
          <w:p>
            <w:r>
              <w:rPr>
                <w:sz w:val="21"/>
                <w:szCs w:val="21"/>
              </w:rPr>
              <w:t xml:space="preserve">Net Income</w:t>
            </w:r>
          </w:p>
        </w:tc>
        <w:tc>
          <w:tcPr>
            <w:tcW w:type="pct" w:w="13%"/>
            <w:shd w:fill="FFFFFF" w:val="clear"/>
            <w:tcMar>
              <w:top w:type="dxa" w:w="60"/>
              <w:left w:type="dxa" w:w="120"/>
              <w:bottom w:type="dxa" w:w="60"/>
              <w:right w:type="dxa" w:w="120"/>
            </w:tcMar>
          </w:tcPr>
          <w:p>
            <w:r>
              <w:rPr>
                <w:sz w:val="21"/>
                <w:szCs w:val="21"/>
              </w:rPr>
              <w:t xml:space="preserve">($3.3M)</w:t>
            </w:r>
          </w:p>
        </w:tc>
        <w:tc>
          <w:tcPr>
            <w:tcW w:type="pct" w:w="13%"/>
            <w:shd w:fill="FFFFFF" w:val="clear"/>
            <w:tcMar>
              <w:top w:type="dxa" w:w="60"/>
              <w:left w:type="dxa" w:w="120"/>
              <w:bottom w:type="dxa" w:w="60"/>
              <w:right w:type="dxa" w:w="120"/>
            </w:tcMar>
          </w:tcPr>
          <w:p>
            <w:r>
              <w:rPr>
                <w:sz w:val="21"/>
                <w:szCs w:val="21"/>
              </w:rPr>
              <w:t xml:space="preserve">($5.3M)</w:t>
            </w:r>
          </w:p>
        </w:tc>
        <w:tc>
          <w:tcPr>
            <w:tcW w:type="pct" w:w="16%"/>
            <w:shd w:fill="FFFFFF" w:val="clear"/>
            <w:tcMar>
              <w:top w:type="dxa" w:w="60"/>
              <w:left w:type="dxa" w:w="120"/>
              <w:bottom w:type="dxa" w:w="60"/>
              <w:right w:type="dxa" w:w="120"/>
            </w:tcMar>
          </w:tcPr>
          <w:p>
            <w:r>
              <w:rPr>
                <w:sz w:val="21"/>
                <w:szCs w:val="21"/>
              </w:rPr>
              <w:t xml:space="preserve">($4M)</w:t>
            </w:r>
          </w:p>
        </w:tc>
        <w:tc>
          <w:tcPr>
            <w:tcW w:type="pct" w:w="17%"/>
            <w:shd w:fill="FFFFFF" w:val="clear"/>
            <w:tcMar>
              <w:top w:type="dxa" w:w="60"/>
              <w:left w:type="dxa" w:w="120"/>
              <w:bottom w:type="dxa" w:w="60"/>
              <w:right w:type="dxa" w:w="120"/>
            </w:tcMar>
          </w:tcPr>
          <w:p>
            <w:r>
              <w:rPr>
                <w:sz w:val="21"/>
                <w:szCs w:val="21"/>
              </w:rPr>
              <w:t xml:space="preserve">$1M</w:t>
            </w:r>
          </w:p>
        </w:tc>
        <w:tc>
          <w:tcPr>
            <w:tcW w:type="pct" w:w="19%"/>
            <w:shd w:fill="FFFFFF" w:val="clear"/>
            <w:tcMar>
              <w:top w:type="dxa" w:w="60"/>
              <w:left w:type="dxa" w:w="120"/>
              <w:bottom w:type="dxa" w:w="60"/>
              <w:right w:type="dxa" w:w="120"/>
            </w:tcMar>
          </w:tcPr>
          <w:p>
            <w:r>
              <w:rPr>
                <w:sz w:val="21"/>
                <w:szCs w:val="21"/>
              </w:rPr>
              <w:t xml:space="preserve">$15M</w:t>
            </w:r>
          </w:p>
        </w:tc>
      </w:tr>
    </w:tbl>
    <w:p>
      <w:pPr>
        <w:spacing w:after="200"/>
      </w:pPr>
    </w:p>
    <w:p>
      <w:pPr>
        <w:spacing w:after="120" w:line="312"/>
        <w:ind w:firstLine="480"/>
        <w:jc w:val="both"/>
      </w:pPr>
      <w:r>
        <w:rPr>
          <w:rFonts w:ascii="Times New Roman" w:eastAsia="Microsoft YaHei"/>
          <w:color w:val="2C3E50"/>
          <w:sz w:val="24"/>
          <w:szCs w:val="24"/>
        </w:rPr>
        <w:t xml:space="preserve">Path to profitability is achieved in Year 4, with accelerating positive income thereafter. Break-even analysis indicates monthly recurring revenue target of $3.2M for sustainable operations.</w:t>
      </w:r>
    </w:p>
    <w:p>
      <w:pPr>
        <w:pStyle w:val="Heading1"/>
        <w:spacing w:after="200" w:before="400" w:line="312"/>
      </w:pPr>
      <w:bookmarkStart w:id="100075" w:name="_Toc100075"/>
      <w:r>
        <w:rPr>
          <w:rFonts w:ascii="Calibri" w:eastAsia="SimHei"/>
          <w:b/>
          <w:bCs/>
          <w:color w:val="1A2330"/>
          <w:sz w:val="32"/>
          <w:szCs w:val="32"/>
        </w:rPr>
        <w:t xml:space="preserve">7. Go-to-Market Strategy</w:t>
      </w:r>
      <w:bookmarkEnd w:id="100075"/>
    </w:p>
    <w:p>
      <w:pPr>
        <w:pStyle w:val="Heading2"/>
        <w:spacing w:after="160" w:before="300" w:line="312"/>
      </w:pPr>
      <w:bookmarkStart w:id="100076" w:name="_Toc100076"/>
      <w:r>
        <w:rPr>
          <w:rFonts w:ascii="Calibri" w:eastAsia="SimHei"/>
          <w:b/>
          <w:bCs/>
          <w:color w:val="1A2330"/>
          <w:sz w:val="28"/>
          <w:szCs w:val="28"/>
        </w:rPr>
        <w:t xml:space="preserve">7.1 Sales and Distribution Model</w:t>
      </w:r>
      <w:bookmarkEnd w:id="100076"/>
    </w:p>
    <w:p>
      <w:pPr>
        <w:pStyle w:val="Heading3"/>
        <w:spacing w:after="120" w:before="240" w:line="312"/>
      </w:pPr>
      <w:bookmarkStart w:id="100077" w:name="_Toc100077"/>
      <w:r>
        <w:rPr>
          <w:rFonts w:ascii="Calibri" w:eastAsia="SimHei"/>
          <w:b/>
          <w:bCs/>
          <w:color w:val="1A2330"/>
          <w:sz w:val="24"/>
          <w:szCs w:val="24"/>
        </w:rPr>
        <w:t xml:space="preserve">Self-Serve (Free/Pro Tiers)</w:t>
      </w:r>
      <w:bookmarkEnd w:id="100077"/>
    </w:p>
    <w:p>
      <w:pPr>
        <w:spacing w:after="120" w:line="312"/>
        <w:ind w:firstLine="480"/>
        <w:jc w:val="both"/>
      </w:pPr>
      <w:r>
        <w:rPr>
          <w:rFonts w:ascii="Times New Roman" w:eastAsia="Microsoft YaHei"/>
          <w:color w:val="2C3E50"/>
          <w:sz w:val="24"/>
          <w:szCs w:val="24"/>
        </w:rPr>
        <w:t xml:space="preserve">Website-driven acquisition with freemium conversion funnel. Product-led growth strategy where users experience value before purchasing. Target: 70% of Pro subscriptions via self-serve.</w:t>
      </w:r>
    </w:p>
    <w:p>
      <w:pPr>
        <w:pStyle w:val="Heading3"/>
        <w:spacing w:after="120" w:before="240" w:line="312"/>
      </w:pPr>
      <w:bookmarkStart w:id="100078" w:name="_Toc100078"/>
      <w:r>
        <w:rPr>
          <w:rFonts w:ascii="Calibri" w:eastAsia="SimHei"/>
          <w:b/>
          <w:bCs/>
          <w:color w:val="1A2330"/>
          <w:sz w:val="24"/>
          <w:szCs w:val="24"/>
        </w:rPr>
        <w:t xml:space="preserve">Inside Sales (Team Tier)</w:t>
      </w:r>
      <w:bookmarkEnd w:id="100078"/>
    </w:p>
    <w:p>
      <w:pPr>
        <w:spacing w:after="120" w:line="312"/>
        <w:ind w:firstLine="480"/>
        <w:jc w:val="both"/>
      </w:pPr>
      <w:r>
        <w:rPr>
          <w:rFonts w:ascii="Times New Roman" w:eastAsia="Microsoft YaHei"/>
          <w:color w:val="2C3E50"/>
          <w:sz w:val="24"/>
          <w:szCs w:val="24"/>
        </w:rPr>
        <w:t xml:space="preserve">Remote sales development representatives qualify leads and close Team deals up to $25K ACV. Focus on research groups and small companies. Target: 80% of Team revenue via inside sales.</w:t>
      </w:r>
    </w:p>
    <w:p>
      <w:pPr>
        <w:pStyle w:val="Heading3"/>
        <w:spacing w:after="120" w:before="240" w:line="312"/>
      </w:pPr>
      <w:bookmarkStart w:id="100079" w:name="_Toc100079"/>
      <w:r>
        <w:rPr>
          <w:rFonts w:ascii="Calibri" w:eastAsia="SimHei"/>
          <w:b/>
          <w:bCs/>
          <w:color w:val="1A2330"/>
          <w:sz w:val="24"/>
          <w:szCs w:val="24"/>
        </w:rPr>
        <w:t xml:space="preserve">Field Sales (Enterprise)</w:t>
      </w:r>
      <w:bookmarkEnd w:id="100079"/>
    </w:p>
    <w:p>
      <w:pPr>
        <w:spacing w:after="120" w:line="312"/>
        <w:ind w:firstLine="480"/>
        <w:jc w:val="both"/>
      </w:pPr>
      <w:r>
        <w:rPr>
          <w:rFonts w:ascii="Times New Roman" w:eastAsia="Microsoft YaHei"/>
          <w:color w:val="2C3E50"/>
          <w:sz w:val="24"/>
          <w:szCs w:val="24"/>
        </w:rPr>
        <w:t xml:space="preserve">Regional account executives manage strategic accounts with $100K+ potential ACV. Longer sales cycles (6-18 months) justified by deal sizes. Target: 95% of Enterprise revenue via field sales.</w:t>
      </w:r>
    </w:p>
    <w:p>
      <w:pPr>
        <w:pStyle w:val="Heading3"/>
        <w:spacing w:after="120" w:before="240" w:line="312"/>
      </w:pPr>
      <w:bookmarkStart w:id="100080" w:name="_Toc100080"/>
      <w:r>
        <w:rPr>
          <w:rFonts w:ascii="Calibri" w:eastAsia="SimHei"/>
          <w:b/>
          <w:bCs/>
          <w:color w:val="1A2330"/>
          <w:sz w:val="24"/>
          <w:szCs w:val="24"/>
        </w:rPr>
        <w:t xml:space="preserve">Channel Partners</w:t>
      </w:r>
      <w:bookmarkEnd w:id="100080"/>
    </w:p>
    <w:p>
      <w:pPr>
        <w:spacing w:after="120" w:line="312"/>
        <w:ind w:firstLine="480"/>
        <w:jc w:val="both"/>
      </w:pPr>
      <w:r>
        <w:rPr>
          <w:rFonts w:ascii="Times New Roman" w:eastAsia="Microsoft YaHei"/>
          <w:color w:val="2C3E50"/>
          <w:sz w:val="24"/>
          <w:szCs w:val="24"/>
        </w:rPr>
        <w:t xml:space="preserve">Systems integrators and resellers extend reach in specific verticals and geographies. Partner program includes training, deal registration, and margin structures.</w:t>
      </w:r>
    </w:p>
    <w:p>
      <w:pPr>
        <w:pStyle w:val="Heading2"/>
        <w:spacing w:after="160" w:before="300" w:line="312"/>
      </w:pPr>
      <w:bookmarkStart w:id="100081" w:name="_Toc100081"/>
      <w:r>
        <w:rPr>
          <w:rFonts w:ascii="Calibri" w:eastAsia="SimHei"/>
          <w:b/>
          <w:bCs/>
          <w:color w:val="1A2330"/>
          <w:sz w:val="28"/>
          <w:szCs w:val="28"/>
        </w:rPr>
        <w:t xml:space="preserve">7.2 Marketing Approach</w:t>
      </w:r>
      <w:bookmarkEnd w:id="100081"/>
    </w:p>
    <w:p>
      <w:pPr>
        <w:pStyle w:val="Heading3"/>
        <w:spacing w:after="120" w:before="240" w:line="312"/>
      </w:pPr>
      <w:bookmarkStart w:id="100082" w:name="_Toc100082"/>
      <w:r>
        <w:rPr>
          <w:rFonts w:ascii="Calibri" w:eastAsia="SimHei"/>
          <w:b/>
          <w:bCs/>
          <w:color w:val="1A2330"/>
          <w:sz w:val="24"/>
          <w:szCs w:val="24"/>
        </w:rPr>
        <w:t xml:space="preserve">Content Marketing</w:t>
      </w:r>
      <w:bookmarkEnd w:id="100082"/>
    </w:p>
    <w:p>
      <w:pPr>
        <w:spacing w:after="120" w:line="312"/>
        <w:ind w:firstLine="480"/>
        <w:jc w:val="both"/>
      </w:pPr>
      <w:r>
        <w:rPr>
          <w:rFonts w:ascii="Times New Roman" w:eastAsia="Microsoft YaHei"/>
          <w:color w:val="2C3E50"/>
          <w:sz w:val="24"/>
          <w:szCs w:val="24"/>
        </w:rPr>
        <w:t xml:space="preserve">Technical blog posts, whitepapers, webinars, and video tutorials establish thought leadership and drive organic search traffic. Target: 40% of qualified leads from content.</w:t>
      </w:r>
    </w:p>
    <w:p>
      <w:pPr>
        <w:pStyle w:val="Heading3"/>
        <w:spacing w:after="120" w:before="240" w:line="312"/>
      </w:pPr>
      <w:bookmarkStart w:id="100083" w:name="_Toc100083"/>
      <w:r>
        <w:rPr>
          <w:rFonts w:ascii="Calibri" w:eastAsia="SimHei"/>
          <w:b/>
          <w:bCs/>
          <w:color w:val="1A2330"/>
          <w:sz w:val="24"/>
          <w:szCs w:val="24"/>
        </w:rPr>
        <w:t xml:space="preserve">Academic Outreach</w:t>
      </w:r>
      <w:bookmarkEnd w:id="100083"/>
    </w:p>
    <w:p>
      <w:pPr>
        <w:spacing w:after="120" w:line="312"/>
        <w:ind w:firstLine="480"/>
        <w:jc w:val="both"/>
      </w:pPr>
      <w:r>
        <w:rPr>
          <w:rFonts w:ascii="Times New Roman" w:eastAsia="Microsoft YaHei"/>
          <w:color w:val="2C3E50"/>
          <w:sz w:val="24"/>
          <w:szCs w:val="24"/>
        </w:rPr>
        <w:t xml:space="preserve">Conference sponsorships, journal advertising, and professor ambassador programs build credibility in research community. Free academic licenses create pipeline for future commercial adoption.</w:t>
      </w:r>
    </w:p>
    <w:p>
      <w:pPr>
        <w:pStyle w:val="Heading3"/>
        <w:spacing w:after="120" w:before="240" w:line="312"/>
      </w:pPr>
      <w:bookmarkStart w:id="100084" w:name="_Toc100084"/>
      <w:r>
        <w:rPr>
          <w:rFonts w:ascii="Calibri" w:eastAsia="SimHei"/>
          <w:b/>
          <w:bCs/>
          <w:color w:val="1A2330"/>
          <w:sz w:val="24"/>
          <w:szCs w:val="24"/>
        </w:rPr>
        <w:t xml:space="preserve">Digital Advertising</w:t>
      </w:r>
      <w:bookmarkEnd w:id="100084"/>
    </w:p>
    <w:p>
      <w:pPr>
        <w:spacing w:after="120" w:line="312"/>
        <w:ind w:firstLine="480"/>
        <w:jc w:val="both"/>
      </w:pPr>
      <w:r>
        <w:rPr>
          <w:rFonts w:ascii="Times New Roman" w:eastAsia="Microsoft YaHei"/>
          <w:color w:val="2C3E50"/>
          <w:sz w:val="24"/>
          <w:szCs w:val="24"/>
        </w:rPr>
        <w:t xml:space="preserve">Targeted LinkedIn and Google campaigns reach researchers and decision-makers. Retargeting nurtures prospects through consideration phase.</w:t>
      </w:r>
    </w:p>
    <w:p>
      <w:pPr>
        <w:pStyle w:val="Heading3"/>
        <w:spacing w:after="120" w:before="240" w:line="312"/>
      </w:pPr>
      <w:bookmarkStart w:id="100085" w:name="_Toc100085"/>
      <w:r>
        <w:rPr>
          <w:rFonts w:ascii="Calibri" w:eastAsia="SimHei"/>
          <w:b/>
          <w:bCs/>
          <w:color w:val="1A2330"/>
          <w:sz w:val="24"/>
          <w:szCs w:val="24"/>
        </w:rPr>
        <w:t xml:space="preserve">Community Building</w:t>
      </w:r>
      <w:bookmarkEnd w:id="100085"/>
    </w:p>
    <w:p>
      <w:pPr>
        <w:spacing w:after="120" w:line="312"/>
        <w:ind w:firstLine="480"/>
        <w:jc w:val="both"/>
      </w:pPr>
      <w:r>
        <w:rPr>
          <w:rFonts w:ascii="Times New Roman" w:eastAsia="Microsoft YaHei"/>
          <w:color w:val="2C3E50"/>
          <w:sz w:val="24"/>
          <w:szCs w:val="24"/>
        </w:rPr>
        <w:t xml:space="preserve">User forums, Slack/Discord communities, and annual user conference foster engagement and loyalty. Active community reduces support costs and drives word-of-mouth referrals.</w:t>
      </w:r>
    </w:p>
    <w:p>
      <w:pPr>
        <w:pStyle w:val="Heading2"/>
        <w:spacing w:after="160" w:before="300" w:line="312"/>
      </w:pPr>
      <w:bookmarkStart w:id="100086" w:name="_Toc100086"/>
      <w:r>
        <w:rPr>
          <w:rFonts w:ascii="Calibri" w:eastAsia="SimHei"/>
          <w:b/>
          <w:bCs/>
          <w:color w:val="1A2330"/>
          <w:sz w:val="28"/>
          <w:szCs w:val="28"/>
        </w:rPr>
        <w:t xml:space="preserve">7.3 Partnership Strategy</w:t>
      </w:r>
      <w:bookmarkEnd w:id="100086"/>
    </w:p>
    <w:p>
      <w:pPr>
        <w:pStyle w:val="Heading3"/>
        <w:spacing w:after="120" w:before="240" w:line="312"/>
      </w:pPr>
      <w:bookmarkStart w:id="100087" w:name="_Toc100087"/>
      <w:r>
        <w:rPr>
          <w:rFonts w:ascii="Calibri" w:eastAsia="SimHei"/>
          <w:b/>
          <w:bCs/>
          <w:color w:val="1A2330"/>
          <w:sz w:val="24"/>
          <w:szCs w:val="24"/>
        </w:rPr>
        <w:t xml:space="preserve">Technology Partnerships</w:t>
      </w:r>
      <w:bookmarkEnd w:id="100087"/>
    </w:p>
    <w:p>
      <w:pPr>
        <w:spacing w:after="120" w:line="312"/>
        <w:ind w:firstLine="480"/>
        <w:jc w:val="both"/>
      </w:pPr>
      <w:r>
        <w:rPr>
          <w:rFonts w:ascii="Times New Roman" w:eastAsia="Microsoft YaHei"/>
          <w:color w:val="2C3E50"/>
          <w:sz w:val="24"/>
          <w:szCs w:val="24"/>
        </w:rPr>
        <w:t xml:space="preserve">Integrations with major instrument manufacturers, database providers, and complementary software vendors expand platform utility and distribution.</w:t>
      </w:r>
    </w:p>
    <w:p>
      <w:pPr>
        <w:pStyle w:val="Heading3"/>
        <w:spacing w:after="120" w:before="240" w:line="312"/>
      </w:pPr>
      <w:bookmarkStart w:id="100088" w:name="_Toc100088"/>
      <w:r>
        <w:rPr>
          <w:rFonts w:ascii="Calibri" w:eastAsia="SimHei"/>
          <w:b/>
          <w:bCs/>
          <w:color w:val="1A2330"/>
          <w:sz w:val="24"/>
          <w:szCs w:val="24"/>
        </w:rPr>
        <w:t xml:space="preserve">Academic Partnerships</w:t>
      </w:r>
      <w:bookmarkEnd w:id="100088"/>
    </w:p>
    <w:p>
      <w:pPr>
        <w:spacing w:after="120" w:line="312"/>
        <w:ind w:firstLine="480"/>
        <w:jc w:val="both"/>
      </w:pPr>
      <w:r>
        <w:rPr>
          <w:rFonts w:ascii="Times New Roman" w:eastAsia="Microsoft YaHei"/>
          <w:color w:val="2C3E50"/>
          <w:sz w:val="24"/>
          <w:szCs w:val="24"/>
        </w:rPr>
        <w:t xml:space="preserve">University alliances provide feedback, case studies, and graduate pipeline. Research consortium memberships establish credibility.</w:t>
      </w:r>
    </w:p>
    <w:p>
      <w:pPr>
        <w:pStyle w:val="Heading3"/>
        <w:spacing w:after="120" w:before="240" w:line="312"/>
      </w:pPr>
      <w:bookmarkStart w:id="100089" w:name="_Toc100089"/>
      <w:r>
        <w:rPr>
          <w:rFonts w:ascii="Calibri" w:eastAsia="SimHei"/>
          <w:b/>
          <w:bCs/>
          <w:color w:val="1A2330"/>
          <w:sz w:val="24"/>
          <w:szCs w:val="24"/>
        </w:rPr>
        <w:t xml:space="preserve">Cloud Partnerships</w:t>
      </w:r>
      <w:bookmarkEnd w:id="100089"/>
    </w:p>
    <w:p>
      <w:pPr>
        <w:spacing w:after="120" w:line="312"/>
        <w:ind w:firstLine="480"/>
        <w:jc w:val="both"/>
      </w:pPr>
      <w:r>
        <w:rPr>
          <w:rFonts w:ascii="Times New Roman" w:eastAsia="Microsoft YaHei"/>
          <w:color w:val="2C3E50"/>
          <w:sz w:val="24"/>
          <w:szCs w:val="24"/>
        </w:rPr>
        <w:t xml:space="preserve">Relationships with AWS, Azure, and GCP ensure optimal infrastructure access, co-marketing opportunities, and preferred pricing.</w:t>
      </w:r>
    </w:p>
    <w:p>
      <w:pPr>
        <w:pStyle w:val="Heading2"/>
        <w:spacing w:after="160" w:before="300" w:line="312"/>
      </w:pPr>
      <w:bookmarkStart w:id="100090" w:name="_Toc100090"/>
      <w:r>
        <w:rPr>
          <w:rFonts w:ascii="Calibri" w:eastAsia="SimHei"/>
          <w:b/>
          <w:bCs/>
          <w:color w:val="1A2330"/>
          <w:sz w:val="28"/>
          <w:szCs w:val="28"/>
        </w:rPr>
        <w:t xml:space="preserve">7.4 Customer Acquisition Plan</w:t>
      </w:r>
      <w:bookmarkEnd w:id="100090"/>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15%"/>
            <w:shd w:fill="D4875A" w:val="clear"/>
            <w:tcMar>
              <w:top w:type="dxa" w:w="60"/>
              <w:left w:type="dxa" w:w="120"/>
              <w:bottom w:type="dxa" w:w="60"/>
              <w:right w:type="dxa" w:w="120"/>
            </w:tcMar>
          </w:tcPr>
          <w:p>
            <w:r>
              <w:rPr>
                <w:b/>
                <w:bCs/>
                <w:color w:val="FFFFFF"/>
                <w:sz w:val="21"/>
                <w:szCs w:val="21"/>
              </w:rPr>
              <w:t xml:space="preserve">Quarter</w:t>
            </w:r>
          </w:p>
        </w:tc>
        <w:tc>
          <w:tcPr>
            <w:tcW w:type="pct" w:w="28%"/>
            <w:shd w:fill="D4875A" w:val="clear"/>
            <w:tcMar>
              <w:top w:type="dxa" w:w="60"/>
              <w:left w:type="dxa" w:w="120"/>
              <w:bottom w:type="dxa" w:w="60"/>
              <w:right w:type="dxa" w:w="120"/>
            </w:tcMar>
          </w:tcPr>
          <w:p>
            <w:r>
              <w:rPr>
                <w:b/>
                <w:bCs/>
                <w:color w:val="FFFFFF"/>
                <w:sz w:val="21"/>
                <w:szCs w:val="21"/>
              </w:rPr>
              <w:t xml:space="preserve">Focus</w:t>
            </w:r>
          </w:p>
        </w:tc>
        <w:tc>
          <w:tcPr>
            <w:tcW w:type="pct" w:w="28%"/>
            <w:shd w:fill="D4875A" w:val="clear"/>
            <w:tcMar>
              <w:top w:type="dxa" w:w="60"/>
              <w:left w:type="dxa" w:w="120"/>
              <w:bottom w:type="dxa" w:w="60"/>
              <w:right w:type="dxa" w:w="120"/>
            </w:tcMar>
          </w:tcPr>
          <w:p>
            <w:r>
              <w:rPr>
                <w:b/>
                <w:bCs/>
                <w:color w:val="FFFFFF"/>
                <w:sz w:val="21"/>
                <w:szCs w:val="21"/>
              </w:rPr>
              <w:t xml:space="preserve">Target New Customers</w:t>
            </w:r>
          </w:p>
        </w:tc>
        <w:tc>
          <w:tcPr>
            <w:tcW w:type="pct" w:w="29%"/>
            <w:shd w:fill="D4875A" w:val="clear"/>
            <w:tcMar>
              <w:top w:type="dxa" w:w="60"/>
              <w:left w:type="dxa" w:w="120"/>
              <w:bottom w:type="dxa" w:w="60"/>
              <w:right w:type="dxa" w:w="120"/>
            </w:tcMar>
          </w:tcPr>
          <w:p>
            <w:r>
              <w:rPr>
                <w:b/>
                <w:bCs/>
                <w:color w:val="FFFFFF"/>
                <w:sz w:val="21"/>
                <w:szCs w:val="21"/>
              </w:rPr>
              <w:t xml:space="preserve">Primary Channel</w:t>
            </w:r>
          </w:p>
        </w:tc>
      </w:tr>
      <w:tr>
        <w:trPr>
          <w:cantSplit/>
        </w:trPr>
        <w:tc>
          <w:tcPr>
            <w:tcW w:type="pct" w:w="15%"/>
            <w:shd w:fill="F8F0EB" w:val="clear"/>
            <w:tcMar>
              <w:top w:type="dxa" w:w="60"/>
              <w:left w:type="dxa" w:w="120"/>
              <w:bottom w:type="dxa" w:w="60"/>
              <w:right w:type="dxa" w:w="120"/>
            </w:tcMar>
          </w:tcPr>
          <w:p>
            <w:r>
              <w:rPr>
                <w:sz w:val="21"/>
                <w:szCs w:val="21"/>
              </w:rPr>
              <w:t xml:space="preserve">Q1-Y1</w:t>
            </w:r>
          </w:p>
        </w:tc>
        <w:tc>
          <w:tcPr>
            <w:tcW w:type="pct" w:w="28%"/>
            <w:shd w:fill="F8F0EB" w:val="clear"/>
            <w:tcMar>
              <w:top w:type="dxa" w:w="60"/>
              <w:left w:type="dxa" w:w="120"/>
              <w:bottom w:type="dxa" w:w="60"/>
              <w:right w:type="dxa" w:w="120"/>
            </w:tcMar>
          </w:tcPr>
          <w:p>
            <w:r>
              <w:rPr>
                <w:sz w:val="21"/>
                <w:szCs w:val="21"/>
              </w:rPr>
              <w:t xml:space="preserve">Beta launch</w:t>
            </w:r>
          </w:p>
        </w:tc>
        <w:tc>
          <w:tcPr>
            <w:tcW w:type="pct" w:w="28%"/>
            <w:shd w:fill="F8F0EB" w:val="clear"/>
            <w:tcMar>
              <w:top w:type="dxa" w:w="60"/>
              <w:left w:type="dxa" w:w="120"/>
              <w:bottom w:type="dxa" w:w="60"/>
              <w:right w:type="dxa" w:w="120"/>
            </w:tcMar>
          </w:tcPr>
          <w:p>
            <w:r>
              <w:rPr>
                <w:sz w:val="21"/>
                <w:szCs w:val="21"/>
              </w:rPr>
              <w:t xml:space="preserve">100</w:t>
            </w:r>
          </w:p>
        </w:tc>
        <w:tc>
          <w:tcPr>
            <w:tcW w:type="pct" w:w="29%"/>
            <w:shd w:fill="F8F0EB" w:val="clear"/>
            <w:tcMar>
              <w:top w:type="dxa" w:w="60"/>
              <w:left w:type="dxa" w:w="120"/>
              <w:bottom w:type="dxa" w:w="60"/>
              <w:right w:type="dxa" w:w="120"/>
            </w:tcMar>
          </w:tcPr>
          <w:p>
            <w:r>
              <w:rPr>
                <w:sz w:val="21"/>
                <w:szCs w:val="21"/>
              </w:rPr>
              <w:t xml:space="preserve">Academic outreach</w:t>
            </w:r>
          </w:p>
        </w:tc>
      </w:tr>
      <w:tr>
        <w:trPr>
          <w:cantSplit/>
        </w:trPr>
        <w:tc>
          <w:tcPr>
            <w:tcW w:type="pct" w:w="15%"/>
            <w:shd w:fill="FFFFFF" w:val="clear"/>
            <w:tcMar>
              <w:top w:type="dxa" w:w="60"/>
              <w:left w:type="dxa" w:w="120"/>
              <w:bottom w:type="dxa" w:w="60"/>
              <w:right w:type="dxa" w:w="120"/>
            </w:tcMar>
          </w:tcPr>
          <w:p>
            <w:r>
              <w:rPr>
                <w:sz w:val="21"/>
                <w:szCs w:val="21"/>
              </w:rPr>
              <w:t xml:space="preserve">Q2-Y1</w:t>
            </w:r>
          </w:p>
        </w:tc>
        <w:tc>
          <w:tcPr>
            <w:tcW w:type="pct" w:w="28%"/>
            <w:shd w:fill="FFFFFF" w:val="clear"/>
            <w:tcMar>
              <w:top w:type="dxa" w:w="60"/>
              <w:left w:type="dxa" w:w="120"/>
              <w:bottom w:type="dxa" w:w="60"/>
              <w:right w:type="dxa" w:w="120"/>
            </w:tcMar>
          </w:tcPr>
          <w:p>
            <w:r>
              <w:rPr>
                <w:sz w:val="21"/>
                <w:szCs w:val="21"/>
              </w:rPr>
              <w:t xml:space="preserve">Product refinement</w:t>
            </w:r>
          </w:p>
        </w:tc>
        <w:tc>
          <w:tcPr>
            <w:tcW w:type="pct" w:w="28%"/>
            <w:shd w:fill="FFFFFF" w:val="clear"/>
            <w:tcMar>
              <w:top w:type="dxa" w:w="60"/>
              <w:left w:type="dxa" w:w="120"/>
              <w:bottom w:type="dxa" w:w="60"/>
              <w:right w:type="dxa" w:w="120"/>
            </w:tcMar>
          </w:tcPr>
          <w:p>
            <w:r>
              <w:rPr>
                <w:sz w:val="21"/>
                <w:szCs w:val="21"/>
              </w:rPr>
              <w:t xml:space="preserve">150</w:t>
            </w:r>
          </w:p>
        </w:tc>
        <w:tc>
          <w:tcPr>
            <w:tcW w:type="pct" w:w="29%"/>
            <w:shd w:fill="FFFFFF" w:val="clear"/>
            <w:tcMar>
              <w:top w:type="dxa" w:w="60"/>
              <w:left w:type="dxa" w:w="120"/>
              <w:bottom w:type="dxa" w:w="60"/>
              <w:right w:type="dxa" w:w="120"/>
            </w:tcMar>
          </w:tcPr>
          <w:p>
            <w:r>
              <w:rPr>
                <w:sz w:val="21"/>
                <w:szCs w:val="21"/>
              </w:rPr>
              <w:t xml:space="preserve">Content marketing</w:t>
            </w:r>
          </w:p>
        </w:tc>
      </w:tr>
      <w:tr>
        <w:trPr>
          <w:cantSplit/>
        </w:trPr>
        <w:tc>
          <w:tcPr>
            <w:tcW w:type="pct" w:w="15%"/>
            <w:shd w:fill="F8F0EB" w:val="clear"/>
            <w:tcMar>
              <w:top w:type="dxa" w:w="60"/>
              <w:left w:type="dxa" w:w="120"/>
              <w:bottom w:type="dxa" w:w="60"/>
              <w:right w:type="dxa" w:w="120"/>
            </w:tcMar>
          </w:tcPr>
          <w:p>
            <w:r>
              <w:rPr>
                <w:sz w:val="21"/>
                <w:szCs w:val="21"/>
              </w:rPr>
              <w:t xml:space="preserve">Q3-Y1</w:t>
            </w:r>
          </w:p>
        </w:tc>
        <w:tc>
          <w:tcPr>
            <w:tcW w:type="pct" w:w="28%"/>
            <w:shd w:fill="F8F0EB" w:val="clear"/>
            <w:tcMar>
              <w:top w:type="dxa" w:w="60"/>
              <w:left w:type="dxa" w:w="120"/>
              <w:bottom w:type="dxa" w:w="60"/>
              <w:right w:type="dxa" w:w="120"/>
            </w:tcMar>
          </w:tcPr>
          <w:p>
            <w:r>
              <w:rPr>
                <w:sz w:val="21"/>
                <w:szCs w:val="21"/>
              </w:rPr>
              <w:t xml:space="preserve">Commercial launch</w:t>
            </w:r>
          </w:p>
        </w:tc>
        <w:tc>
          <w:tcPr>
            <w:tcW w:type="pct" w:w="28%"/>
            <w:shd w:fill="F8F0EB" w:val="clear"/>
            <w:tcMar>
              <w:top w:type="dxa" w:w="60"/>
              <w:left w:type="dxa" w:w="120"/>
              <w:bottom w:type="dxa" w:w="60"/>
              <w:right w:type="dxa" w:w="120"/>
            </w:tcMar>
          </w:tcPr>
          <w:p>
            <w:r>
              <w:rPr>
                <w:sz w:val="21"/>
                <w:szCs w:val="21"/>
              </w:rPr>
              <w:t xml:space="preserve">200</w:t>
            </w:r>
          </w:p>
        </w:tc>
        <w:tc>
          <w:tcPr>
            <w:tcW w:type="pct" w:w="29%"/>
            <w:shd w:fill="F8F0EB" w:val="clear"/>
            <w:tcMar>
              <w:top w:type="dxa" w:w="60"/>
              <w:left w:type="dxa" w:w="120"/>
              <w:bottom w:type="dxa" w:w="60"/>
              <w:right w:type="dxa" w:w="120"/>
            </w:tcMar>
          </w:tcPr>
          <w:p>
            <w:r>
              <w:rPr>
                <w:sz w:val="21"/>
                <w:szCs w:val="21"/>
              </w:rPr>
              <w:t xml:space="preserve">Digital advertising</w:t>
            </w:r>
          </w:p>
        </w:tc>
      </w:tr>
      <w:tr>
        <w:trPr>
          <w:cantSplit/>
        </w:trPr>
        <w:tc>
          <w:tcPr>
            <w:tcW w:type="pct" w:w="15%"/>
            <w:shd w:fill="FFFFFF" w:val="clear"/>
            <w:tcMar>
              <w:top w:type="dxa" w:w="60"/>
              <w:left w:type="dxa" w:w="120"/>
              <w:bottom w:type="dxa" w:w="60"/>
              <w:right w:type="dxa" w:w="120"/>
            </w:tcMar>
          </w:tcPr>
          <w:p>
            <w:r>
              <w:rPr>
                <w:sz w:val="21"/>
                <w:szCs w:val="21"/>
              </w:rPr>
              <w:t xml:space="preserve">Q4-Y1</w:t>
            </w:r>
          </w:p>
        </w:tc>
        <w:tc>
          <w:tcPr>
            <w:tcW w:type="pct" w:w="28%"/>
            <w:shd w:fill="FFFFFF" w:val="clear"/>
            <w:tcMar>
              <w:top w:type="dxa" w:w="60"/>
              <w:left w:type="dxa" w:w="120"/>
              <w:bottom w:type="dxa" w:w="60"/>
              <w:right w:type="dxa" w:w="120"/>
            </w:tcMar>
          </w:tcPr>
          <w:p>
            <w:r>
              <w:rPr>
                <w:sz w:val="21"/>
                <w:szCs w:val="21"/>
              </w:rPr>
              <w:t xml:space="preserve">Enterprise pilots</w:t>
            </w:r>
          </w:p>
        </w:tc>
        <w:tc>
          <w:tcPr>
            <w:tcW w:type="pct" w:w="28%"/>
            <w:shd w:fill="FFFFFF" w:val="clear"/>
            <w:tcMar>
              <w:top w:type="dxa" w:w="60"/>
              <w:left w:type="dxa" w:w="120"/>
              <w:bottom w:type="dxa" w:w="60"/>
              <w:right w:type="dxa" w:w="120"/>
            </w:tcMar>
          </w:tcPr>
          <w:p>
            <w:r>
              <w:rPr>
                <w:sz w:val="21"/>
                <w:szCs w:val="21"/>
              </w:rPr>
              <w:t xml:space="preserve">50</w:t>
            </w:r>
          </w:p>
        </w:tc>
        <w:tc>
          <w:tcPr>
            <w:tcW w:type="pct" w:w="29%"/>
            <w:shd w:fill="FFFFFF" w:val="clear"/>
            <w:tcMar>
              <w:top w:type="dxa" w:w="60"/>
              <w:left w:type="dxa" w:w="120"/>
              <w:bottom w:type="dxa" w:w="60"/>
              <w:right w:type="dxa" w:w="120"/>
            </w:tcMar>
          </w:tcPr>
          <w:p>
            <w:r>
              <w:rPr>
                <w:sz w:val="21"/>
                <w:szCs w:val="21"/>
              </w:rPr>
              <w:t xml:space="preserve">Field sales</w:t>
            </w:r>
          </w:p>
        </w:tc>
      </w:tr>
      <w:tr>
        <w:trPr>
          <w:cantSplit/>
        </w:trPr>
        <w:tc>
          <w:tcPr>
            <w:tcW w:type="pct" w:w="15%"/>
            <w:shd w:fill="F8F0EB" w:val="clear"/>
            <w:tcMar>
              <w:top w:type="dxa" w:w="60"/>
              <w:left w:type="dxa" w:w="120"/>
              <w:bottom w:type="dxa" w:w="60"/>
              <w:right w:type="dxa" w:w="120"/>
            </w:tcMar>
          </w:tcPr>
          <w:p>
            <w:r>
              <w:rPr>
                <w:sz w:val="21"/>
                <w:szCs w:val="21"/>
              </w:rPr>
              <w:t xml:space="preserve">Y2</w:t>
            </w:r>
          </w:p>
        </w:tc>
        <w:tc>
          <w:tcPr>
            <w:tcW w:type="pct" w:w="28%"/>
            <w:shd w:fill="F8F0EB" w:val="clear"/>
            <w:tcMar>
              <w:top w:type="dxa" w:w="60"/>
              <w:left w:type="dxa" w:w="120"/>
              <w:bottom w:type="dxa" w:w="60"/>
              <w:right w:type="dxa" w:w="120"/>
            </w:tcMar>
          </w:tcPr>
          <w:p>
            <w:r>
              <w:rPr>
                <w:sz w:val="21"/>
                <w:szCs w:val="21"/>
              </w:rPr>
              <w:t xml:space="preserve">Scale growth</w:t>
            </w:r>
          </w:p>
        </w:tc>
        <w:tc>
          <w:tcPr>
            <w:tcW w:type="pct" w:w="28%"/>
            <w:shd w:fill="F8F0EB" w:val="clear"/>
            <w:tcMar>
              <w:top w:type="dxa" w:w="60"/>
              <w:left w:type="dxa" w:w="120"/>
              <w:bottom w:type="dxa" w:w="60"/>
              <w:right w:type="dxa" w:w="120"/>
            </w:tcMar>
          </w:tcPr>
          <w:p>
            <w:r>
              <w:rPr>
                <w:sz w:val="21"/>
                <w:szCs w:val="21"/>
              </w:rPr>
              <w:t xml:space="preserve">1,500</w:t>
            </w:r>
          </w:p>
        </w:tc>
        <w:tc>
          <w:tcPr>
            <w:tcW w:type="pct" w:w="29%"/>
            <w:shd w:fill="F8F0EB" w:val="clear"/>
            <w:tcMar>
              <w:top w:type="dxa" w:w="60"/>
              <w:left w:type="dxa" w:w="120"/>
              <w:bottom w:type="dxa" w:w="60"/>
              <w:right w:type="dxa" w:w="120"/>
            </w:tcMar>
          </w:tcPr>
          <w:p>
            <w:r>
              <w:rPr>
                <w:sz w:val="21"/>
                <w:szCs w:val="21"/>
              </w:rPr>
              <w:t xml:space="preserve">Multi-channel</w:t>
            </w:r>
          </w:p>
        </w:tc>
      </w:tr>
      <w:tr>
        <w:trPr>
          <w:cantSplit/>
        </w:trPr>
        <w:tc>
          <w:tcPr>
            <w:tcW w:type="pct" w:w="15%"/>
            <w:shd w:fill="FFFFFF" w:val="clear"/>
            <w:tcMar>
              <w:top w:type="dxa" w:w="60"/>
              <w:left w:type="dxa" w:w="120"/>
              <w:bottom w:type="dxa" w:w="60"/>
              <w:right w:type="dxa" w:w="120"/>
            </w:tcMar>
          </w:tcPr>
          <w:p>
            <w:r>
              <w:rPr>
                <w:sz w:val="21"/>
                <w:szCs w:val="21"/>
              </w:rPr>
              <w:t xml:space="preserve">Y3</w:t>
            </w:r>
          </w:p>
        </w:tc>
        <w:tc>
          <w:tcPr>
            <w:tcW w:type="pct" w:w="28%"/>
            <w:shd w:fill="FFFFFF" w:val="clear"/>
            <w:tcMar>
              <w:top w:type="dxa" w:w="60"/>
              <w:left w:type="dxa" w:w="120"/>
              <w:bottom w:type="dxa" w:w="60"/>
              <w:right w:type="dxa" w:w="120"/>
            </w:tcMar>
          </w:tcPr>
          <w:p>
            <w:r>
              <w:rPr>
                <w:sz w:val="21"/>
                <w:szCs w:val="21"/>
              </w:rPr>
              <w:t xml:space="preserve">Market expansion</w:t>
            </w:r>
          </w:p>
        </w:tc>
        <w:tc>
          <w:tcPr>
            <w:tcW w:type="pct" w:w="28%"/>
            <w:shd w:fill="FFFFFF" w:val="clear"/>
            <w:tcMar>
              <w:top w:type="dxa" w:w="60"/>
              <w:left w:type="dxa" w:w="120"/>
              <w:bottom w:type="dxa" w:w="60"/>
              <w:right w:type="dxa" w:w="120"/>
            </w:tcMar>
          </w:tcPr>
          <w:p>
            <w:r>
              <w:rPr>
                <w:sz w:val="21"/>
                <w:szCs w:val="21"/>
              </w:rPr>
              <w:t xml:space="preserve">2,500</w:t>
            </w:r>
          </w:p>
        </w:tc>
        <w:tc>
          <w:tcPr>
            <w:tcW w:type="pct" w:w="29%"/>
            <w:shd w:fill="FFFFFF" w:val="clear"/>
            <w:tcMar>
              <w:top w:type="dxa" w:w="60"/>
              <w:left w:type="dxa" w:w="120"/>
              <w:bottom w:type="dxa" w:w="60"/>
              <w:right w:type="dxa" w:w="120"/>
            </w:tcMar>
          </w:tcPr>
          <w:p>
            <w:r>
              <w:rPr>
                <w:sz w:val="21"/>
                <w:szCs w:val="21"/>
              </w:rPr>
              <w:t xml:space="preserve">Partnerships</w:t>
            </w:r>
          </w:p>
        </w:tc>
      </w:tr>
    </w:tbl>
    <w:p>
      <w:pPr>
        <w:spacing w:after="200"/>
      </w:pPr>
    </w:p>
    <w:p>
      <w:pPr>
        <w:pStyle w:val="Heading2"/>
        <w:spacing w:after="160" w:before="300" w:line="312"/>
      </w:pPr>
      <w:bookmarkStart w:id="100091" w:name="_Toc100091"/>
      <w:r>
        <w:rPr>
          <w:rFonts w:ascii="Calibri" w:eastAsia="SimHei"/>
          <w:b/>
          <w:bCs/>
          <w:color w:val="1A2330"/>
          <w:sz w:val="28"/>
          <w:szCs w:val="28"/>
        </w:rPr>
        <w:t xml:space="preserve">7.5 Phased Launch Roadmap</w:t>
      </w:r>
      <w:bookmarkEnd w:id="100091"/>
    </w:p>
    <w:p>
      <w:pPr>
        <w:pStyle w:val="Heading3"/>
        <w:spacing w:after="120" w:before="240" w:line="312"/>
      </w:pPr>
      <w:bookmarkStart w:id="100092" w:name="_Toc100092"/>
      <w:r>
        <w:rPr>
          <w:rFonts w:ascii="Calibri" w:eastAsia="SimHei"/>
          <w:b/>
          <w:bCs/>
          <w:color w:val="1A2330"/>
          <w:sz w:val="24"/>
          <w:szCs w:val="24"/>
        </w:rPr>
        <w:t xml:space="preserve">Phase 1: Foundation (Months 1-6)</w:t>
      </w:r>
      <w:bookmarkEnd w:id="100092"/>
    </w:p>
    <w:p>
      <w:pPr>
        <w:spacing w:after="120" w:line="312"/>
        <w:ind w:firstLine="480"/>
        <w:jc w:val="both"/>
      </w:pPr>
      <w:r>
        <w:rPr>
          <w:rFonts w:ascii="Times New Roman" w:eastAsia="Microsoft YaHei"/>
          <w:color w:val="2C3E50"/>
          <w:sz w:val="24"/>
          <w:szCs w:val="24"/>
        </w:rPr>
        <w:t xml:space="preserve">Complete core platform development, initiate closed beta with partner institutions, establish support infrastructure, and refine product based on early feedback.</w:t>
      </w:r>
    </w:p>
    <w:p>
      <w:pPr>
        <w:pStyle w:val="Heading3"/>
        <w:spacing w:after="120" w:before="240" w:line="312"/>
      </w:pPr>
      <w:bookmarkStart w:id="100093" w:name="_Toc100093"/>
      <w:r>
        <w:rPr>
          <w:rFonts w:ascii="Calibri" w:eastAsia="SimHei"/>
          <w:b/>
          <w:bCs/>
          <w:color w:val="1A2330"/>
          <w:sz w:val="24"/>
          <w:szCs w:val="24"/>
        </w:rPr>
        <w:t xml:space="preserve">Phase 2: Launch (Months 7-12)</w:t>
      </w:r>
      <w:bookmarkEnd w:id="100093"/>
    </w:p>
    <w:p>
      <w:pPr>
        <w:spacing w:after="120" w:line="312"/>
        <w:ind w:firstLine="480"/>
        <w:jc w:val="both"/>
      </w:pPr>
      <w:r>
        <w:rPr>
          <w:rFonts w:ascii="Times New Roman" w:eastAsia="Microsoft YaHei"/>
          <w:color w:val="2C3E50"/>
          <w:sz w:val="24"/>
          <w:szCs w:val="24"/>
        </w:rPr>
        <w:t xml:space="preserve">Public beta release, activate marketing campaigns, onboard initial paying customers, and iterate rapidly based on usage analytics.</w:t>
      </w:r>
    </w:p>
    <w:p>
      <w:pPr>
        <w:pStyle w:val="Heading3"/>
        <w:spacing w:after="120" w:before="240" w:line="312"/>
      </w:pPr>
      <w:bookmarkStart w:id="100094" w:name="_Toc100094"/>
      <w:r>
        <w:rPr>
          <w:rFonts w:ascii="Calibri" w:eastAsia="SimHei"/>
          <w:b/>
          <w:bCs/>
          <w:color w:val="1A2330"/>
          <w:sz w:val="24"/>
          <w:szCs w:val="24"/>
        </w:rPr>
        <w:t xml:space="preserve">Phase 3: Scale (Year 2)</w:t>
      </w:r>
      <w:bookmarkEnd w:id="100094"/>
    </w:p>
    <w:p>
      <w:pPr>
        <w:spacing w:after="120" w:line="312"/>
        <w:ind w:firstLine="480"/>
        <w:jc w:val="both"/>
      </w:pPr>
      <w:r>
        <w:rPr>
          <w:rFonts w:ascii="Times New Roman" w:eastAsia="Microsoft YaHei"/>
          <w:color w:val="2C3E50"/>
          <w:sz w:val="24"/>
          <w:szCs w:val="24"/>
        </w:rPr>
        <w:t xml:space="preserve">Expand sales team, launch marketplace, enter European market, and develop enterprise features for larger deployments.</w:t>
      </w:r>
    </w:p>
    <w:p>
      <w:pPr>
        <w:pStyle w:val="Heading3"/>
        <w:spacing w:after="120" w:before="240" w:line="312"/>
      </w:pPr>
      <w:bookmarkStart w:id="100095" w:name="_Toc100095"/>
      <w:r>
        <w:rPr>
          <w:rFonts w:ascii="Calibri" w:eastAsia="SimHei"/>
          <w:b/>
          <w:bCs/>
          <w:color w:val="1A2330"/>
          <w:sz w:val="24"/>
          <w:szCs w:val="24"/>
        </w:rPr>
        <w:t xml:space="preserve">Phase 4: Growth (Years 3-5)</w:t>
      </w:r>
      <w:bookmarkEnd w:id="100095"/>
    </w:p>
    <w:p>
      <w:pPr>
        <w:spacing w:after="120" w:line="312"/>
        <w:ind w:firstLine="480"/>
        <w:jc w:val="both"/>
      </w:pPr>
      <w:r>
        <w:rPr>
          <w:rFonts w:ascii="Times New Roman" w:eastAsia="Microsoft YaHei"/>
          <w:color w:val="2C3E50"/>
          <w:sz w:val="24"/>
          <w:szCs w:val="24"/>
        </w:rPr>
        <w:t xml:space="preserve">International expansion, strategic acquisitions, platform ecosystem maturation, and path to market leadership position.</w:t>
      </w:r>
    </w:p>
    <w:p>
      <w:pPr>
        <w:pStyle w:val="Heading1"/>
        <w:spacing w:after="200" w:before="400" w:line="312"/>
      </w:pPr>
      <w:bookmarkStart w:id="100096" w:name="_Toc100096"/>
      <w:r>
        <w:rPr>
          <w:rFonts w:ascii="Calibri" w:eastAsia="SimHei"/>
          <w:b/>
          <w:bCs/>
          <w:color w:val="1A2330"/>
          <w:sz w:val="32"/>
          <w:szCs w:val="32"/>
        </w:rPr>
        <w:t xml:space="preserve">8. Competitive Landscape</w:t>
      </w:r>
      <w:bookmarkEnd w:id="100096"/>
    </w:p>
    <w:p>
      <w:pPr>
        <w:pStyle w:val="Heading2"/>
        <w:spacing w:after="160" w:before="300" w:line="312"/>
      </w:pPr>
      <w:bookmarkStart w:id="100097" w:name="_Toc100097"/>
      <w:r>
        <w:rPr>
          <w:rFonts w:ascii="Calibri" w:eastAsia="SimHei"/>
          <w:b/>
          <w:bCs/>
          <w:color w:val="1A2330"/>
          <w:sz w:val="28"/>
          <w:szCs w:val="28"/>
        </w:rPr>
        <w:t xml:space="preserve">8.1 Direct Competitors Analysis</w:t>
      </w:r>
      <w:bookmarkEnd w:id="100097"/>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0%"/>
            <w:shd w:fill="D4875A" w:val="clear"/>
            <w:tcMar>
              <w:top w:type="dxa" w:w="60"/>
              <w:left w:type="dxa" w:w="120"/>
              <w:bottom w:type="dxa" w:w="60"/>
              <w:right w:type="dxa" w:w="120"/>
            </w:tcMar>
          </w:tcPr>
          <w:p>
            <w:r>
              <w:rPr>
                <w:b/>
                <w:bCs/>
                <w:color w:val="FFFFFF"/>
                <w:sz w:val="21"/>
                <w:szCs w:val="21"/>
              </w:rPr>
              <w:t xml:space="preserve">Competitor</w:t>
            </w:r>
          </w:p>
        </w:tc>
        <w:tc>
          <w:tcPr>
            <w:tcW w:type="pct" w:w="30%"/>
            <w:shd w:fill="D4875A" w:val="clear"/>
            <w:tcMar>
              <w:top w:type="dxa" w:w="60"/>
              <w:left w:type="dxa" w:w="120"/>
              <w:bottom w:type="dxa" w:w="60"/>
              <w:right w:type="dxa" w:w="120"/>
            </w:tcMar>
          </w:tcPr>
          <w:p>
            <w:r>
              <w:rPr>
                <w:b/>
                <w:bCs/>
                <w:color w:val="FFFFFF"/>
                <w:sz w:val="21"/>
                <w:szCs w:val="21"/>
              </w:rPr>
              <w:t xml:space="preserve">Strengths</w:t>
            </w:r>
          </w:p>
        </w:tc>
        <w:tc>
          <w:tcPr>
            <w:tcW w:type="pct" w:w="30%"/>
            <w:shd w:fill="D4875A" w:val="clear"/>
            <w:tcMar>
              <w:top w:type="dxa" w:w="60"/>
              <w:left w:type="dxa" w:w="120"/>
              <w:bottom w:type="dxa" w:w="60"/>
              <w:right w:type="dxa" w:w="120"/>
            </w:tcMar>
          </w:tcPr>
          <w:p>
            <w:r>
              <w:rPr>
                <w:b/>
                <w:bCs/>
                <w:color w:val="FFFFFF"/>
                <w:sz w:val="21"/>
                <w:szCs w:val="21"/>
              </w:rPr>
              <w:t xml:space="preserve">Weaknesses</w:t>
            </w:r>
          </w:p>
        </w:tc>
        <w:tc>
          <w:tcPr>
            <w:tcW w:type="pct" w:w="20%"/>
            <w:shd w:fill="D4875A" w:val="clear"/>
            <w:tcMar>
              <w:top w:type="dxa" w:w="60"/>
              <w:left w:type="dxa" w:w="120"/>
              <w:bottom w:type="dxa" w:w="60"/>
              <w:right w:type="dxa" w:w="120"/>
            </w:tcMar>
          </w:tcPr>
          <w:p>
            <w:r>
              <w:rPr>
                <w:b/>
                <w:bCs/>
                <w:color w:val="FFFFFF"/>
                <w:sz w:val="21"/>
                <w:szCs w:val="21"/>
              </w:rPr>
              <w:t xml:space="preserve">Market Position</w:t>
            </w:r>
          </w:p>
        </w:tc>
      </w:tr>
      <w:tr>
        <w:trPr>
          <w:cantSplit/>
        </w:trPr>
        <w:tc>
          <w:tcPr>
            <w:tcW w:type="pct" w:w="20%"/>
            <w:shd w:fill="F8F0EB" w:val="clear"/>
            <w:tcMar>
              <w:top w:type="dxa" w:w="60"/>
              <w:left w:type="dxa" w:w="120"/>
              <w:bottom w:type="dxa" w:w="60"/>
              <w:right w:type="dxa" w:w="120"/>
            </w:tcMar>
          </w:tcPr>
          <w:p>
            <w:r>
              <w:rPr>
                <w:sz w:val="21"/>
                <w:szCs w:val="21"/>
              </w:rPr>
              <w:t xml:space="preserve">Legacy Vendor A</w:t>
            </w:r>
          </w:p>
        </w:tc>
        <w:tc>
          <w:tcPr>
            <w:tcW w:type="pct" w:w="30%"/>
            <w:shd w:fill="F8F0EB" w:val="clear"/>
            <w:tcMar>
              <w:top w:type="dxa" w:w="60"/>
              <w:left w:type="dxa" w:w="120"/>
              <w:bottom w:type="dxa" w:w="60"/>
              <w:right w:type="dxa" w:w="120"/>
            </w:tcMar>
          </w:tcPr>
          <w:p>
            <w:r>
              <w:rPr>
                <w:sz w:val="21"/>
                <w:szCs w:val="21"/>
              </w:rPr>
              <w:t xml:space="preserve">Brand recognition, installed base</w:t>
            </w:r>
          </w:p>
        </w:tc>
        <w:tc>
          <w:tcPr>
            <w:tcW w:type="pct" w:w="30%"/>
            <w:shd w:fill="F8F0EB" w:val="clear"/>
            <w:tcMar>
              <w:top w:type="dxa" w:w="60"/>
              <w:left w:type="dxa" w:w="120"/>
              <w:bottom w:type="dxa" w:w="60"/>
              <w:right w:type="dxa" w:w="120"/>
            </w:tcMar>
          </w:tcPr>
          <w:p>
            <w:r>
              <w:rPr>
                <w:sz w:val="21"/>
                <w:szCs w:val="21"/>
              </w:rPr>
              <w:t xml:space="preserve">Outdated UX, high pricing</w:t>
            </w:r>
          </w:p>
        </w:tc>
        <w:tc>
          <w:tcPr>
            <w:tcW w:type="pct" w:w="20%"/>
            <w:shd w:fill="F8F0EB" w:val="clear"/>
            <w:tcMar>
              <w:top w:type="dxa" w:w="60"/>
              <w:left w:type="dxa" w:w="120"/>
              <w:bottom w:type="dxa" w:w="60"/>
              <w:right w:type="dxa" w:w="120"/>
            </w:tcMar>
          </w:tcPr>
          <w:p>
            <w:r>
              <w:rPr>
                <w:sz w:val="21"/>
                <w:szCs w:val="21"/>
              </w:rPr>
              <w:t xml:space="preserve">Declining (-5% YoY)</w:t>
            </w:r>
          </w:p>
        </w:tc>
      </w:tr>
      <w:tr>
        <w:trPr>
          <w:cantSplit/>
        </w:trPr>
        <w:tc>
          <w:tcPr>
            <w:tcW w:type="pct" w:w="20%"/>
            <w:shd w:fill="FFFFFF" w:val="clear"/>
            <w:tcMar>
              <w:top w:type="dxa" w:w="60"/>
              <w:left w:type="dxa" w:w="120"/>
              <w:bottom w:type="dxa" w:w="60"/>
              <w:right w:type="dxa" w:w="120"/>
            </w:tcMar>
          </w:tcPr>
          <w:p>
            <w:r>
              <w:rPr>
                <w:sz w:val="21"/>
                <w:szCs w:val="21"/>
              </w:rPr>
              <w:t xml:space="preserve">Legacy Vendor B</w:t>
            </w:r>
          </w:p>
        </w:tc>
        <w:tc>
          <w:tcPr>
            <w:tcW w:type="pct" w:w="30%"/>
            <w:shd w:fill="FFFFFF" w:val="clear"/>
            <w:tcMar>
              <w:top w:type="dxa" w:w="60"/>
              <w:left w:type="dxa" w:w="120"/>
              <w:bottom w:type="dxa" w:w="60"/>
              <w:right w:type="dxa" w:w="120"/>
            </w:tcMar>
          </w:tcPr>
          <w:p>
            <w:r>
              <w:rPr>
                <w:sz w:val="21"/>
                <w:szCs w:val="21"/>
              </w:rPr>
              <w:t xml:space="preserve">Deep domain expertise</w:t>
            </w:r>
          </w:p>
        </w:tc>
        <w:tc>
          <w:tcPr>
            <w:tcW w:type="pct" w:w="30%"/>
            <w:shd w:fill="FFFFFF" w:val="clear"/>
            <w:tcMar>
              <w:top w:type="dxa" w:w="60"/>
              <w:left w:type="dxa" w:w="120"/>
              <w:bottom w:type="dxa" w:w="60"/>
              <w:right w:type="dxa" w:w="120"/>
            </w:tcMar>
          </w:tcPr>
          <w:p>
            <w:r>
              <w:rPr>
                <w:sz w:val="21"/>
                <w:szCs w:val="21"/>
              </w:rPr>
              <w:t xml:space="preserve">Cloud transition struggles</w:t>
            </w:r>
          </w:p>
        </w:tc>
        <w:tc>
          <w:tcPr>
            <w:tcW w:type="pct" w:w="20%"/>
            <w:shd w:fill="FFFFFF" w:val="clear"/>
            <w:tcMar>
              <w:top w:type="dxa" w:w="60"/>
              <w:left w:type="dxa" w:w="120"/>
              <w:bottom w:type="dxa" w:w="60"/>
              <w:right w:type="dxa" w:w="120"/>
            </w:tcMar>
          </w:tcPr>
          <w:p>
            <w:r>
              <w:rPr>
                <w:sz w:val="21"/>
                <w:szCs w:val="21"/>
              </w:rPr>
              <w:t xml:space="preserve">Stable (0% YoY)</w:t>
            </w:r>
          </w:p>
        </w:tc>
      </w:tr>
      <w:tr>
        <w:trPr>
          <w:cantSplit/>
        </w:trPr>
        <w:tc>
          <w:tcPr>
            <w:tcW w:type="pct" w:w="20%"/>
            <w:shd w:fill="F8F0EB" w:val="clear"/>
            <w:tcMar>
              <w:top w:type="dxa" w:w="60"/>
              <w:left w:type="dxa" w:w="120"/>
              <w:bottom w:type="dxa" w:w="60"/>
              <w:right w:type="dxa" w:w="120"/>
            </w:tcMar>
          </w:tcPr>
          <w:p>
            <w:r>
              <w:rPr>
                <w:sz w:val="21"/>
                <w:szCs w:val="21"/>
              </w:rPr>
              <w:t xml:space="preserve">Cloud Startup X</w:t>
            </w:r>
          </w:p>
        </w:tc>
        <w:tc>
          <w:tcPr>
            <w:tcW w:type="pct" w:w="30%"/>
            <w:shd w:fill="F8F0EB" w:val="clear"/>
            <w:tcMar>
              <w:top w:type="dxa" w:w="60"/>
              <w:left w:type="dxa" w:w="120"/>
              <w:bottom w:type="dxa" w:w="60"/>
              <w:right w:type="dxa" w:w="120"/>
            </w:tcMar>
          </w:tcPr>
          <w:p>
            <w:r>
              <w:rPr>
                <w:sz w:val="21"/>
                <w:szCs w:val="21"/>
              </w:rPr>
              <w:t xml:space="preserve">Modern tech stack</w:t>
            </w:r>
          </w:p>
        </w:tc>
        <w:tc>
          <w:tcPr>
            <w:tcW w:type="pct" w:w="30%"/>
            <w:shd w:fill="F8F0EB" w:val="clear"/>
            <w:tcMar>
              <w:top w:type="dxa" w:w="60"/>
              <w:left w:type="dxa" w:w="120"/>
              <w:bottom w:type="dxa" w:w="60"/>
              <w:right w:type="dxa" w:w="120"/>
            </w:tcMar>
          </w:tcPr>
          <w:p>
            <w:r>
              <w:rPr>
                <w:sz w:val="21"/>
                <w:szCs w:val="21"/>
              </w:rPr>
              <w:t xml:space="preserve">Narrow focus, funding risk</w:t>
            </w:r>
          </w:p>
        </w:tc>
        <w:tc>
          <w:tcPr>
            <w:tcW w:type="pct" w:w="20%"/>
            <w:shd w:fill="F8F0EB" w:val="clear"/>
            <w:tcMar>
              <w:top w:type="dxa" w:w="60"/>
              <w:left w:type="dxa" w:w="120"/>
              <w:bottom w:type="dxa" w:w="60"/>
              <w:right w:type="dxa" w:w="120"/>
            </w:tcMar>
          </w:tcPr>
          <w:p>
            <w:r>
              <w:rPr>
                <w:sz w:val="21"/>
                <w:szCs w:val="21"/>
              </w:rPr>
              <w:t xml:space="preserve">Growing (+25% YoY)</w:t>
            </w:r>
          </w:p>
        </w:tc>
      </w:tr>
      <w:tr>
        <w:trPr>
          <w:cantSplit/>
        </w:trPr>
        <w:tc>
          <w:tcPr>
            <w:tcW w:type="pct" w:w="20%"/>
            <w:shd w:fill="FFFFFF" w:val="clear"/>
            <w:tcMar>
              <w:top w:type="dxa" w:w="60"/>
              <w:left w:type="dxa" w:w="120"/>
              <w:bottom w:type="dxa" w:w="60"/>
              <w:right w:type="dxa" w:w="120"/>
            </w:tcMar>
          </w:tcPr>
          <w:p>
            <w:r>
              <w:rPr>
                <w:sz w:val="21"/>
                <w:szCs w:val="21"/>
              </w:rPr>
              <w:t xml:space="preserve">Open Source Y</w:t>
            </w:r>
          </w:p>
        </w:tc>
        <w:tc>
          <w:tcPr>
            <w:tcW w:type="pct" w:w="30%"/>
            <w:shd w:fill="FFFFFF" w:val="clear"/>
            <w:tcMar>
              <w:top w:type="dxa" w:w="60"/>
              <w:left w:type="dxa" w:w="120"/>
              <w:bottom w:type="dxa" w:w="60"/>
              <w:right w:type="dxa" w:w="120"/>
            </w:tcMar>
          </w:tcPr>
          <w:p>
            <w:r>
              <w:rPr>
                <w:sz w:val="21"/>
                <w:szCs w:val="21"/>
              </w:rPr>
              <w:t xml:space="preserve">Free, flexible</w:t>
            </w:r>
          </w:p>
        </w:tc>
        <w:tc>
          <w:tcPr>
            <w:tcW w:type="pct" w:w="30%"/>
            <w:shd w:fill="FFFFFF" w:val="clear"/>
            <w:tcMar>
              <w:top w:type="dxa" w:w="60"/>
              <w:left w:type="dxa" w:w="120"/>
              <w:bottom w:type="dxa" w:w="60"/>
              <w:right w:type="dxa" w:w="120"/>
            </w:tcMar>
          </w:tcPr>
          <w:p>
            <w:r>
              <w:rPr>
                <w:sz w:val="21"/>
                <w:szCs w:val="21"/>
              </w:rPr>
              <w:t xml:space="preserve">No enterprise support</w:t>
            </w:r>
          </w:p>
        </w:tc>
        <w:tc>
          <w:tcPr>
            <w:tcW w:type="pct" w:w="20%"/>
            <w:shd w:fill="FFFFFF" w:val="clear"/>
            <w:tcMar>
              <w:top w:type="dxa" w:w="60"/>
              <w:left w:type="dxa" w:w="120"/>
              <w:bottom w:type="dxa" w:w="60"/>
              <w:right w:type="dxa" w:w="120"/>
            </w:tcMar>
          </w:tcPr>
          <w:p>
            <w:r>
              <w:rPr>
                <w:sz w:val="21"/>
                <w:szCs w:val="21"/>
              </w:rPr>
              <w:t xml:space="preserve">Niche adoption</w:t>
            </w:r>
          </w:p>
        </w:tc>
      </w:tr>
    </w:tbl>
    <w:p>
      <w:pPr>
        <w:spacing w:after="200"/>
      </w:pPr>
    </w:p>
    <w:p>
      <w:pPr>
        <w:pStyle w:val="Heading2"/>
        <w:spacing w:after="160" w:before="300" w:line="312"/>
      </w:pPr>
      <w:bookmarkStart w:id="100098" w:name="_Toc100098"/>
      <w:r>
        <w:rPr>
          <w:rFonts w:ascii="Calibri" w:eastAsia="SimHei"/>
          <w:b/>
          <w:bCs/>
          <w:color w:val="1A2330"/>
          <w:sz w:val="28"/>
          <w:szCs w:val="28"/>
        </w:rPr>
        <w:t xml:space="preserve">8.2 Indirect Competitors</w:t>
      </w:r>
      <w:bookmarkEnd w:id="100098"/>
    </w:p>
    <w:p>
      <w:pPr>
        <w:spacing w:after="120" w:line="312"/>
        <w:ind w:firstLine="480"/>
        <w:jc w:val="both"/>
      </w:pPr>
      <w:r>
        <w:rPr>
          <w:rFonts w:ascii="Times New Roman" w:eastAsia="Microsoft YaHei"/>
          <w:color w:val="2C3E50"/>
          <w:sz w:val="24"/>
          <w:szCs w:val="24"/>
        </w:rPr>
        <w:t xml:space="preserve">Beyond direct alternatives, researchers may choose: in-house developed solutions (common in large pharma); general-purpose tools like Excel or Python IDEs; consulting firms offering custom analysis; or simply accepting reduced analytical capabilities. Each alternative has tradeoffs that AETH-1 addresses.</w:t>
      </w:r>
    </w:p>
    <w:p>
      <w:pPr>
        <w:pStyle w:val="Heading2"/>
        <w:spacing w:after="160" w:before="300" w:line="312"/>
      </w:pPr>
      <w:bookmarkStart w:id="100099" w:name="_Toc100099"/>
      <w:r>
        <w:rPr>
          <w:rFonts w:ascii="Calibri" w:eastAsia="SimHei"/>
          <w:b/>
          <w:bCs/>
          <w:color w:val="1A2330"/>
          <w:sz w:val="28"/>
          <w:szCs w:val="28"/>
        </w:rPr>
        <w:t xml:space="preserve">8.3 Competitive Positioning Matrix</w:t>
      </w:r>
      <w:bookmarkEnd w:id="100099"/>
    </w:p>
    <w:p>
      <w:pPr>
        <w:spacing w:after="120" w:line="312"/>
        <w:ind w:firstLine="480"/>
        <w:jc w:val="both"/>
      </w:pPr>
      <w:r>
        <w:rPr>
          <w:rFonts w:ascii="Times New Roman" w:eastAsia="Microsoft YaHei"/>
          <w:color w:val="2C3E50"/>
          <w:sz w:val="24"/>
          <w:szCs w:val="24"/>
        </w:rPr>
        <w:t xml:space="preserve">AETH-1 occupies a unique position combining: modern cloud architecture (unlike legacy vendors); broad disciplinary coverage (unlike niche startups); enterprise readiness (unlike pure open source); and accessible pricing (unlike premium competitors).</w:t>
      </w:r>
    </w:p>
    <w:p>
      <w:pPr>
        <w:spacing w:after="120" w:line="312"/>
        <w:ind w:firstLine="480"/>
        <w:jc w:val="both"/>
      </w:pPr>
      <w:r>
        <w:rPr>
          <w:rFonts w:ascii="Times New Roman" w:eastAsia="Microsoft YaHei"/>
          <w:color w:val="2C3E50"/>
          <w:sz w:val="24"/>
          <w:szCs w:val="24"/>
        </w:rPr>
        <w:t xml:space="preserve">This positioning allows us to compete on multiple dimensions depending on buyer priorities: price-sensitive academics see value versus expensive legacy tools; enterprise buyers appreciate modern architecture and support; and all users benefit from superior user experience.</w:t>
      </w:r>
    </w:p>
    <w:p>
      <w:pPr>
        <w:pStyle w:val="Heading2"/>
        <w:spacing w:after="160" w:before="300" w:line="312"/>
      </w:pPr>
      <w:bookmarkStart w:id="100100" w:name="_Toc100100"/>
      <w:r>
        <w:rPr>
          <w:rFonts w:ascii="Calibri" w:eastAsia="SimHei"/>
          <w:b/>
          <w:bCs/>
          <w:color w:val="1A2330"/>
          <w:sz w:val="28"/>
          <w:szCs w:val="28"/>
        </w:rPr>
        <w:t xml:space="preserve">8.4 Competitive Moat / Barriers to Entry</w:t>
      </w:r>
      <w:bookmarkEnd w:id="100100"/>
    </w:p>
    <w:p>
      <w:pPr>
        <w:pStyle w:val="Heading3"/>
        <w:spacing w:after="120" w:before="240" w:line="312"/>
      </w:pPr>
      <w:bookmarkStart w:id="100101" w:name="_Toc100101"/>
      <w:r>
        <w:rPr>
          <w:rFonts w:ascii="Calibri" w:eastAsia="SimHei"/>
          <w:b/>
          <w:bCs/>
          <w:color w:val="1A2330"/>
          <w:sz w:val="24"/>
          <w:szCs w:val="24"/>
        </w:rPr>
        <w:t xml:space="preserve">Network Effects</w:t>
      </w:r>
      <w:bookmarkEnd w:id="100101"/>
    </w:p>
    <w:p>
      <w:pPr>
        <w:spacing w:after="120" w:line="312"/>
        <w:ind w:firstLine="480"/>
        <w:jc w:val="both"/>
      </w:pPr>
      <w:r>
        <w:rPr>
          <w:rFonts w:ascii="Times New Roman" w:eastAsia="Microsoft YaHei"/>
          <w:color w:val="2C3E50"/>
          <w:sz w:val="24"/>
          <w:szCs w:val="24"/>
        </w:rPr>
        <w:t xml:space="preserve">As the user base grows, collaboration features become more valuable, marketplace offerings increase, and community resources expand. Each new user adds value to the network.</w:t>
      </w:r>
    </w:p>
    <w:p>
      <w:pPr>
        <w:pStyle w:val="Heading3"/>
        <w:spacing w:after="120" w:before="240" w:line="312"/>
      </w:pPr>
      <w:bookmarkStart w:id="100102" w:name="_Toc100102"/>
      <w:r>
        <w:rPr>
          <w:rFonts w:ascii="Calibri" w:eastAsia="SimHei"/>
          <w:b/>
          <w:bCs/>
          <w:color w:val="1A2330"/>
          <w:sz w:val="24"/>
          <w:szCs w:val="24"/>
        </w:rPr>
        <w:t xml:space="preserve">Switching Costs</w:t>
      </w:r>
      <w:bookmarkEnd w:id="100102"/>
    </w:p>
    <w:p>
      <w:pPr>
        <w:spacing w:after="120" w:line="312"/>
        <w:ind w:firstLine="480"/>
        <w:jc w:val="both"/>
      </w:pPr>
      <w:r>
        <w:rPr>
          <w:rFonts w:ascii="Times New Roman" w:eastAsia="Microsoft YaHei"/>
          <w:color w:val="2C3E50"/>
          <w:sz w:val="24"/>
          <w:szCs w:val="24"/>
        </w:rPr>
        <w:t xml:space="preserve">Migrated workflows, trained personnel, historical data, and integrations create meaningful costs to leave the platform once adopted.</w:t>
      </w:r>
    </w:p>
    <w:p>
      <w:pPr>
        <w:pStyle w:val="Heading3"/>
        <w:spacing w:after="120" w:before="240" w:line="312"/>
      </w:pPr>
      <w:bookmarkStart w:id="100103" w:name="_Toc100103"/>
      <w:r>
        <w:rPr>
          <w:rFonts w:ascii="Calibri" w:eastAsia="SimHei"/>
          <w:b/>
          <w:bCs/>
          <w:color w:val="1A2330"/>
          <w:sz w:val="24"/>
          <w:szCs w:val="24"/>
        </w:rPr>
        <w:t xml:space="preserve">Data Network Effects</w:t>
      </w:r>
      <w:bookmarkEnd w:id="100103"/>
    </w:p>
    <w:p>
      <w:pPr>
        <w:spacing w:after="120" w:line="312"/>
        <w:ind w:firstLine="480"/>
        <w:jc w:val="both"/>
      </w:pPr>
      <w:r>
        <w:rPr>
          <w:rFonts w:ascii="Times New Roman" w:eastAsia="Microsoft YaHei"/>
          <w:color w:val="2C3E50"/>
          <w:sz w:val="24"/>
          <w:szCs w:val="24"/>
        </w:rPr>
        <w:t xml:space="preserve">Aggregated anonymized usage data improves AI features, benchmark comparisons, and recommendation quality over time.</w:t>
      </w:r>
    </w:p>
    <w:p>
      <w:pPr>
        <w:pStyle w:val="Heading3"/>
        <w:spacing w:after="120" w:before="240" w:line="312"/>
      </w:pPr>
      <w:bookmarkStart w:id="100104" w:name="_Toc100104"/>
      <w:r>
        <w:rPr>
          <w:rFonts w:ascii="Calibri" w:eastAsia="SimHei"/>
          <w:b/>
          <w:bCs/>
          <w:color w:val="1A2330"/>
          <w:sz w:val="24"/>
          <w:szCs w:val="24"/>
        </w:rPr>
        <w:t xml:space="preserve">Brand &amp; Trust</w:t>
      </w:r>
      <w:bookmarkEnd w:id="100104"/>
    </w:p>
    <w:p>
      <w:pPr>
        <w:spacing w:after="120" w:line="312"/>
        <w:ind w:firstLine="480"/>
        <w:jc w:val="both"/>
      </w:pPr>
      <w:r>
        <w:rPr>
          <w:rFonts w:ascii="Times New Roman" w:eastAsia="Microsoft YaHei"/>
          <w:color w:val="2C3E50"/>
          <w:sz w:val="24"/>
          <w:szCs w:val="24"/>
        </w:rPr>
        <w:t xml:space="preserve">Scientific tools require high trust. Established reputation for accuracy, reliability, and support creates barrier against unproven entrants.</w:t>
      </w:r>
    </w:p>
    <w:p>
      <w:pPr>
        <w:pStyle w:val="Heading3"/>
        <w:spacing w:after="120" w:before="240" w:line="312"/>
      </w:pPr>
      <w:bookmarkStart w:id="100105" w:name="_Toc100105"/>
      <w:r>
        <w:rPr>
          <w:rFonts w:ascii="Calibri" w:eastAsia="SimHei"/>
          <w:b/>
          <w:bCs/>
          <w:color w:val="1A2330"/>
          <w:sz w:val="24"/>
          <w:szCs w:val="24"/>
        </w:rPr>
        <w:t xml:space="preserve">Ecosystem Lock-In</w:t>
      </w:r>
      <w:bookmarkEnd w:id="100105"/>
    </w:p>
    <w:p>
      <w:pPr>
        <w:spacing w:after="120" w:line="312"/>
        <w:ind w:firstLine="480"/>
        <w:jc w:val="both"/>
      </w:pPr>
      <w:r>
        <w:rPr>
          <w:rFonts w:ascii="Times New Roman" w:eastAsia="Microsoft YaHei"/>
          <w:color w:val="2C3E50"/>
          <w:sz w:val="24"/>
          <w:szCs w:val="24"/>
        </w:rPr>
        <w:t xml:space="preserve">Marketplace, integrations, and certified user base create ecosystem value difficult for competitors to replicate quickly.</w:t>
      </w:r>
    </w:p>
    <w:p>
      <w:pPr>
        <w:pStyle w:val="Heading1"/>
        <w:spacing w:after="200" w:before="400" w:line="312"/>
      </w:pPr>
      <w:bookmarkStart w:id="100106" w:name="_Toc100106"/>
      <w:r>
        <w:rPr>
          <w:rFonts w:ascii="Calibri" w:eastAsia="SimHei"/>
          <w:b/>
          <w:bCs/>
          <w:color w:val="1A2330"/>
          <w:sz w:val="32"/>
          <w:szCs w:val="32"/>
        </w:rPr>
        <w:t xml:space="preserve">9. The Team</w:t>
      </w:r>
      <w:bookmarkEnd w:id="100106"/>
    </w:p>
    <w:p>
      <w:pPr>
        <w:pStyle w:val="Heading2"/>
        <w:spacing w:after="160" w:before="300" w:line="312"/>
      </w:pPr>
      <w:bookmarkStart w:id="100107" w:name="_Toc100107"/>
      <w:r>
        <w:rPr>
          <w:rFonts w:ascii="Calibri" w:eastAsia="SimHei"/>
          <w:b/>
          <w:bCs/>
          <w:color w:val="1A2330"/>
          <w:sz w:val="28"/>
          <w:szCs w:val="28"/>
        </w:rPr>
        <w:t xml:space="preserve">9.1 Founding Team - TestDemo Credentials</w:t>
      </w:r>
      <w:bookmarkEnd w:id="100107"/>
    </w:p>
    <w:p>
      <w:pPr>
        <w:spacing w:after="120" w:line="312"/>
        <w:ind w:firstLine="480"/>
        <w:jc w:val="both"/>
      </w:pPr>
      <w:r>
        <w:rPr>
          <w:rFonts w:ascii="Times New Roman" w:eastAsia="Microsoft YaHei"/>
          <w:color w:val="2C3E50"/>
          <w:sz w:val="24"/>
          <w:szCs w:val="24"/>
        </w:rPr>
        <w:t xml:space="preserve">TestDemo brings a rare and powerful combination of deep scientific expertise and comprehensive engineering skills that uniquely positions Endeavor Science to succeed in the scientific software market.</w:t>
      </w:r>
    </w:p>
    <w:p>
      <w:pPr>
        <w:pStyle w:val="Heading3"/>
        <w:spacing w:after="120" w:before="240" w:line="312"/>
      </w:pPr>
      <w:bookmarkStart w:id="100108" w:name="_Toc100108"/>
      <w:r>
        <w:rPr>
          <w:rFonts w:ascii="Calibri" w:eastAsia="SimHei"/>
          <w:b/>
          <w:bCs/>
          <w:color w:val="1A2330"/>
          <w:sz w:val="24"/>
          <w:szCs w:val="24"/>
        </w:rPr>
        <w:t xml:space="preserve">Scientific Background</w:t>
      </w:r>
      <w:bookmarkEnd w:id="100108"/>
    </w:p>
    <w:p>
      <w:pPr>
        <w:spacing w:after="120" w:line="312"/>
        <w:ind w:firstLine="480"/>
        <w:jc w:val="both"/>
      </w:pPr>
      <w:r>
        <w:rPr>
          <w:rFonts w:ascii="Times New Roman" w:eastAsia="Microsoft YaHei"/>
          <w:color w:val="2C3E50"/>
          <w:sz w:val="24"/>
          <w:szCs w:val="24"/>
        </w:rPr>
        <w:t xml:space="preserve">Postgraduate-level expertise across multiple disciplines:</w:t>
      </w:r>
    </w:p>
    <w:p>
      <w:pPr>
        <w:pStyle w:val="ListParagraph"/>
        <w:numPr>
          <w:ilvl w:val="0"/>
          <w:numId w:val="1"/>
        </w:numPr>
        <w:spacing w:after="80" w:line="312"/>
      </w:pPr>
      <w:r>
        <w:rPr>
          <w:rFonts w:ascii="Times New Roman" w:eastAsia="Microsoft YaHei"/>
          <w:color w:val="2C3E50"/>
          <w:sz w:val="24"/>
          <w:szCs w:val="24"/>
        </w:rPr>
        <w:t xml:space="preserve">Molecular Biology - Understanding of genomics, proteomics, drug discovery workflows</w:t>
      </w:r>
    </w:p>
    <w:p>
      <w:pPr>
        <w:pStyle w:val="ListParagraph"/>
        <w:numPr>
          <w:ilvl w:val="0"/>
          <w:numId w:val="1"/>
        </w:numPr>
        <w:spacing w:after="80" w:line="312"/>
      </w:pPr>
      <w:r>
        <w:rPr>
          <w:rFonts w:ascii="Times New Roman" w:eastAsia="Microsoft YaHei"/>
          <w:color w:val="2C3E50"/>
          <w:sz w:val="24"/>
          <w:szCs w:val="24"/>
        </w:rPr>
        <w:t xml:space="preserve">Bioinformatics - Experience with sequence analysis, structural biology, pathway modeling</w:t>
      </w:r>
    </w:p>
    <w:p>
      <w:pPr>
        <w:pStyle w:val="ListParagraph"/>
        <w:numPr>
          <w:ilvl w:val="0"/>
          <w:numId w:val="1"/>
        </w:numPr>
        <w:spacing w:after="80" w:line="312"/>
      </w:pPr>
      <w:r>
        <w:rPr>
          <w:rFonts w:ascii="Times New Roman" w:eastAsia="Microsoft YaHei"/>
          <w:color w:val="2C3E50"/>
          <w:sz w:val="24"/>
          <w:szCs w:val="24"/>
        </w:rPr>
        <w:t xml:space="preserve">Chemistry - Knowledge of computational chemistry, molecular dynamics, quantum chemistry</w:t>
      </w:r>
    </w:p>
    <w:p>
      <w:pPr>
        <w:pStyle w:val="ListParagraph"/>
        <w:numPr>
          <w:ilvl w:val="0"/>
          <w:numId w:val="1"/>
        </w:numPr>
        <w:spacing w:after="80" w:line="312"/>
      </w:pPr>
      <w:r>
        <w:rPr>
          <w:rFonts w:ascii="Times New Roman" w:eastAsia="Microsoft YaHei"/>
          <w:color w:val="2C3E50"/>
          <w:sz w:val="24"/>
          <w:szCs w:val="24"/>
        </w:rPr>
        <w:t xml:space="preserve">Computational Physics - Expertise in simulation methods, numerical algorithms, HPC</w:t>
      </w:r>
    </w:p>
    <w:p>
      <w:pPr>
        <w:pStyle w:val="ListParagraph"/>
        <w:numPr>
          <w:ilvl w:val="0"/>
          <w:numId w:val="1"/>
        </w:numPr>
        <w:spacing w:after="80" w:line="312"/>
      </w:pPr>
      <w:r>
        <w:rPr>
          <w:rFonts w:ascii="Times New Roman" w:eastAsia="Microsoft YaHei"/>
          <w:color w:val="2C3E50"/>
          <w:sz w:val="24"/>
          <w:szCs w:val="24"/>
        </w:rPr>
        <w:t xml:space="preserve">Data Science - Proficiency in statistics, machine learning, big data analytics</w:t>
      </w:r>
    </w:p>
    <w:p>
      <w:pPr>
        <w:pStyle w:val="Heading3"/>
        <w:spacing w:after="120" w:before="240" w:line="312"/>
      </w:pPr>
      <w:bookmarkStart w:id="100109" w:name="_Toc100109"/>
      <w:r>
        <w:rPr>
          <w:rFonts w:ascii="Calibri" w:eastAsia="SimHei"/>
          <w:b/>
          <w:bCs/>
          <w:color w:val="1A2330"/>
          <w:sz w:val="24"/>
          <w:szCs w:val="24"/>
        </w:rPr>
        <w:t xml:space="preserve">Software Engineering Capabilities</w:t>
      </w:r>
      <w:bookmarkEnd w:id="100109"/>
    </w:p>
    <w:p>
      <w:pPr>
        <w:spacing w:after="120" w:line="312"/>
        <w:ind w:firstLine="480"/>
        <w:jc w:val="both"/>
      </w:pPr>
      <w:r>
        <w:rPr>
          <w:rFonts w:ascii="Times New Roman" w:eastAsia="Microsoft YaHei"/>
          <w:color w:val="2C3E50"/>
          <w:sz w:val="24"/>
          <w:szCs w:val="24"/>
        </w:rPr>
        <w:t xml:space="preserve">Full-stack engineering proficiency spanning the entire technology spectrum:</w:t>
      </w:r>
    </w:p>
    <w:p>
      <w:pPr>
        <w:pStyle w:val="ListParagraph"/>
        <w:numPr>
          <w:ilvl w:val="0"/>
          <w:numId w:val="1"/>
        </w:numPr>
        <w:spacing w:after="80" w:line="312"/>
      </w:pPr>
      <w:r>
        <w:rPr>
          <w:rFonts w:ascii="Times New Roman" w:eastAsia="Microsoft YaHei"/>
          <w:color w:val="2C3E50"/>
          <w:sz w:val="24"/>
          <w:szCs w:val="24"/>
        </w:rPr>
        <w:t xml:space="preserve">Systems Programming - Assembly, C, Fortran for performance-critical components</w:t>
      </w:r>
    </w:p>
    <w:p>
      <w:pPr>
        <w:pStyle w:val="ListParagraph"/>
        <w:numPr>
          <w:ilvl w:val="0"/>
          <w:numId w:val="1"/>
        </w:numPr>
        <w:spacing w:after="80" w:line="312"/>
      </w:pPr>
      <w:r>
        <w:rPr>
          <w:rFonts w:ascii="Times New Roman" w:eastAsia="Microsoft YaHei"/>
          <w:color w:val="2C3E50"/>
          <w:sz w:val="24"/>
          <w:szCs w:val="24"/>
        </w:rPr>
        <w:t xml:space="preserve">Enterprise Platforms - JVM internals, memory management, garbage collection tuning</w:t>
      </w:r>
    </w:p>
    <w:p>
      <w:pPr>
        <w:pStyle w:val="ListParagraph"/>
        <w:numPr>
          <w:ilvl w:val="0"/>
          <w:numId w:val="1"/>
        </w:numPr>
        <w:spacing w:after="80" w:line="312"/>
      </w:pPr>
      <w:r>
        <w:rPr>
          <w:rFonts w:ascii="Times New Roman" w:eastAsia="Microsoft YaHei"/>
          <w:color w:val="2C3E50"/>
          <w:sz w:val="24"/>
          <w:szCs w:val="24"/>
        </w:rPr>
        <w:t xml:space="preserve">Functional Programming - Haskell, Erlang, Clojure for reliable distributed systems</w:t>
      </w:r>
    </w:p>
    <w:p>
      <w:pPr>
        <w:pStyle w:val="ListParagraph"/>
        <w:numPr>
          <w:ilvl w:val="0"/>
          <w:numId w:val="1"/>
        </w:numPr>
        <w:spacing w:after="80" w:line="312"/>
      </w:pPr>
      <w:r>
        <w:rPr>
          <w:rFonts w:ascii="Times New Roman" w:eastAsia="Microsoft YaHei"/>
          <w:color w:val="2C3E50"/>
          <w:sz w:val="24"/>
          <w:szCs w:val="24"/>
        </w:rPr>
        <w:t xml:space="preserve">Big Data Technologies - Apache Spark, Kafka, distributed processing at scale</w:t>
      </w:r>
    </w:p>
    <w:p>
      <w:pPr>
        <w:pStyle w:val="ListParagraph"/>
        <w:numPr>
          <w:ilvl w:val="0"/>
          <w:numId w:val="1"/>
        </w:numPr>
        <w:spacing w:after="80" w:line="312"/>
      </w:pPr>
      <w:r>
        <w:rPr>
          <w:rFonts w:ascii="Times New Roman" w:eastAsia="Microsoft YaHei"/>
          <w:color w:val="2C3E50"/>
          <w:sz w:val="24"/>
          <w:szCs w:val="24"/>
        </w:rPr>
        <w:t xml:space="preserve">Modern Web Development - React, Next.js, Go for responsive applications</w:t>
      </w:r>
    </w:p>
    <w:p>
      <w:pPr>
        <w:pStyle w:val="ListParagraph"/>
        <w:numPr>
          <w:ilvl w:val="0"/>
          <w:numId w:val="1"/>
        </w:numPr>
        <w:spacing w:after="80" w:line="312"/>
      </w:pPr>
      <w:r>
        <w:rPr>
          <w:rFonts w:ascii="Times New Roman" w:eastAsia="Microsoft YaHei"/>
          <w:color w:val="2C3E50"/>
          <w:sz w:val="24"/>
          <w:szCs w:val="24"/>
        </w:rPr>
        <w:t xml:space="preserve">Cloud Infrastructure - Kubernetes, Docker, CI/CD, multi-cloud deployment</w:t>
      </w:r>
    </w:p>
    <w:p>
      <w:pPr>
        <w:pStyle w:val="Heading3"/>
        <w:spacing w:after="120" w:before="240" w:line="312"/>
      </w:pPr>
      <w:bookmarkStart w:id="100110" w:name="_Toc100110"/>
      <w:r>
        <w:rPr>
          <w:rFonts w:ascii="Calibri" w:eastAsia="SimHei"/>
          <w:b/>
          <w:bCs/>
          <w:color w:val="1A2330"/>
          <w:sz w:val="24"/>
          <w:szCs w:val="24"/>
        </w:rPr>
        <w:t xml:space="preserve">Unique Value Proposition</w:t>
      </w:r>
      <w:bookmarkEnd w:id="100110"/>
    </w:p>
    <w:p>
      <w:pPr>
        <w:spacing w:after="120" w:line="312"/>
        <w:ind w:firstLine="480"/>
        <w:jc w:val="both"/>
      </w:pPr>
      <w:r>
        <w:rPr>
          <w:rFonts w:ascii="Times New Roman" w:eastAsia="Microsoft YaHei"/>
          <w:color w:val="2C3E50"/>
          <w:sz w:val="24"/>
          <w:szCs w:val="24"/>
        </w:rPr>
        <w:t xml:space="preserve">This combination of deep science AND full-stack engineering is exceptionally rare. Most scientific software companies are founded by either scientists who struggle with scalable engineering, or engineers who lack domain understanding. TestDemo bridges this gap, enabling authentic communication with users while building robust, scalable technology.</w:t>
      </w:r>
    </w:p>
    <w:p>
      <w:pPr>
        <w:pStyle w:val="Heading2"/>
        <w:spacing w:after="160" w:before="300" w:line="312"/>
      </w:pPr>
      <w:bookmarkStart w:id="100111" w:name="_Toc100111"/>
      <w:r>
        <w:rPr>
          <w:rFonts w:ascii="Calibri" w:eastAsia="SimHei"/>
          <w:b/>
          <w:bCs/>
          <w:color w:val="1A2330"/>
          <w:sz w:val="28"/>
          <w:szCs w:val="28"/>
        </w:rPr>
        <w:t xml:space="preserve">9.2 Advisory Board Targets</w:t>
      </w:r>
      <w:bookmarkEnd w:id="100111"/>
    </w:p>
    <w:p>
      <w:pPr>
        <w:spacing w:after="120" w:line="312"/>
        <w:ind w:firstLine="480"/>
        <w:jc w:val="both"/>
      </w:pPr>
      <w:r>
        <w:rPr>
          <w:rFonts w:ascii="Times New Roman" w:eastAsia="Microsoft YaHei"/>
          <w:color w:val="2C3E50"/>
          <w:sz w:val="24"/>
          <w:szCs w:val="24"/>
        </w:rPr>
        <w:t xml:space="preserve">We are recruiting advisory board members with complementary expertise:</w:t>
      </w:r>
    </w:p>
    <w:p>
      <w:pPr>
        <w:pStyle w:val="ListParagraph"/>
        <w:numPr>
          <w:ilvl w:val="0"/>
          <w:numId w:val="1"/>
        </w:numPr>
        <w:spacing w:after="80" w:line="312"/>
      </w:pPr>
      <w:r>
        <w:rPr>
          <w:rFonts w:ascii="Times New Roman" w:eastAsia="Microsoft YaHei"/>
          <w:color w:val="2C3E50"/>
          <w:sz w:val="24"/>
          <w:szCs w:val="24"/>
        </w:rPr>
        <w:t xml:space="preserve">Former CTO of major scientific software company (scaling experience)</w:t>
      </w:r>
    </w:p>
    <w:p>
      <w:pPr>
        <w:pStyle w:val="ListParagraph"/>
        <w:numPr>
          <w:ilvl w:val="0"/>
          <w:numId w:val="1"/>
        </w:numPr>
        <w:spacing w:after="80" w:line="312"/>
      </w:pPr>
      <w:r>
        <w:rPr>
          <w:rFonts w:ascii="Times New Roman" w:eastAsia="Microsoft YaHei"/>
          <w:color w:val="2C3E50"/>
          <w:sz w:val="24"/>
          <w:szCs w:val="24"/>
        </w:rPr>
        <w:t xml:space="preserve">Prominent academic researcher (credibility and user insight)</w:t>
      </w:r>
    </w:p>
    <w:p>
      <w:pPr>
        <w:pStyle w:val="ListParagraph"/>
        <w:numPr>
          <w:ilvl w:val="0"/>
          <w:numId w:val="1"/>
        </w:numPr>
        <w:spacing w:after="80" w:line="312"/>
      </w:pPr>
      <w:r>
        <w:rPr>
          <w:rFonts w:ascii="Times New Roman" w:eastAsia="Microsoft YaHei"/>
          <w:color w:val="2C3E50"/>
          <w:sz w:val="24"/>
          <w:szCs w:val="24"/>
        </w:rPr>
        <w:t xml:space="preserve">Enterprise software sales veteran (go-to-market expertise)</w:t>
      </w:r>
    </w:p>
    <w:p>
      <w:pPr>
        <w:pStyle w:val="ListParagraph"/>
        <w:numPr>
          <w:ilvl w:val="0"/>
          <w:numId w:val="1"/>
        </w:numPr>
        <w:spacing w:after="80" w:line="312"/>
      </w:pPr>
      <w:r>
        <w:rPr>
          <w:rFonts w:ascii="Times New Roman" w:eastAsia="Microsoft YaHei"/>
          <w:color w:val="2C3E50"/>
          <w:sz w:val="24"/>
          <w:szCs w:val="24"/>
        </w:rPr>
        <w:t xml:space="preserve">Venture capitalist with B2B SaaS portfolio (fundraising guidance)</w:t>
      </w:r>
    </w:p>
    <w:p>
      <w:pPr>
        <w:pStyle w:val="ListParagraph"/>
        <w:numPr>
          <w:ilvl w:val="0"/>
          <w:numId w:val="1"/>
        </w:numPr>
        <w:spacing w:after="80" w:line="312"/>
      </w:pPr>
      <w:r>
        <w:rPr>
          <w:rFonts w:ascii="Times New Roman" w:eastAsia="Microsoft YaHei"/>
          <w:color w:val="2C3E50"/>
          <w:sz w:val="24"/>
          <w:szCs w:val="24"/>
        </w:rPr>
        <w:t xml:space="preserve">Regulatory/compliance expert (pharma/healthcare vertical knowledge)</w:t>
      </w:r>
    </w:p>
    <w:p>
      <w:pPr>
        <w:pStyle w:val="Heading2"/>
        <w:spacing w:after="160" w:before="300" w:line="312"/>
      </w:pPr>
      <w:bookmarkStart w:id="100112" w:name="_Toc100112"/>
      <w:r>
        <w:rPr>
          <w:rFonts w:ascii="Calibri" w:eastAsia="SimHei"/>
          <w:b/>
          <w:bCs/>
          <w:color w:val="1A2330"/>
          <w:sz w:val="28"/>
          <w:szCs w:val="28"/>
        </w:rPr>
        <w:t xml:space="preserve">9.3 Hiring Plan</w:t>
      </w:r>
      <w:bookmarkEnd w:id="100112"/>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8%"/>
            <w:shd w:fill="D4875A" w:val="clear"/>
            <w:tcMar>
              <w:top w:type="dxa" w:w="60"/>
              <w:left w:type="dxa" w:w="120"/>
              <w:bottom w:type="dxa" w:w="60"/>
              <w:right w:type="dxa" w:w="120"/>
            </w:tcMar>
          </w:tcPr>
          <w:p>
            <w:r>
              <w:rPr>
                <w:b/>
                <w:bCs/>
                <w:color w:val="FFFFFF"/>
                <w:sz w:val="21"/>
                <w:szCs w:val="21"/>
              </w:rPr>
              <w:t xml:space="preserve">Role</w:t>
            </w:r>
          </w:p>
        </w:tc>
        <w:tc>
          <w:tcPr>
            <w:tcW w:type="pct" w:w="22%"/>
            <w:shd w:fill="D4875A" w:val="clear"/>
            <w:tcMar>
              <w:top w:type="dxa" w:w="60"/>
              <w:left w:type="dxa" w:w="120"/>
              <w:bottom w:type="dxa" w:w="60"/>
              <w:right w:type="dxa" w:w="120"/>
            </w:tcMar>
          </w:tcPr>
          <w:p>
            <w:r>
              <w:rPr>
                <w:b/>
                <w:bCs/>
                <w:color w:val="FFFFFF"/>
                <w:sz w:val="21"/>
                <w:szCs w:val="21"/>
              </w:rPr>
              <w:t xml:space="preserve">Headcount Y1</w:t>
            </w:r>
          </w:p>
        </w:tc>
        <w:tc>
          <w:tcPr>
            <w:tcW w:type="pct" w:w="22%"/>
            <w:shd w:fill="D4875A" w:val="clear"/>
            <w:tcMar>
              <w:top w:type="dxa" w:w="60"/>
              <w:left w:type="dxa" w:w="120"/>
              <w:bottom w:type="dxa" w:w="60"/>
              <w:right w:type="dxa" w:w="120"/>
            </w:tcMar>
          </w:tcPr>
          <w:p>
            <w:r>
              <w:rPr>
                <w:b/>
                <w:bCs/>
                <w:color w:val="FFFFFF"/>
                <w:sz w:val="21"/>
                <w:szCs w:val="21"/>
              </w:rPr>
              <w:t xml:space="preserve">Headcount Y3</w:t>
            </w:r>
          </w:p>
        </w:tc>
        <w:tc>
          <w:tcPr>
            <w:tcW w:type="pct" w:w="28%"/>
            <w:shd w:fill="D4875A" w:val="clear"/>
            <w:tcMar>
              <w:top w:type="dxa" w:w="60"/>
              <w:left w:type="dxa" w:w="120"/>
              <w:bottom w:type="dxa" w:w="60"/>
              <w:right w:type="dxa" w:w="120"/>
            </w:tcMar>
          </w:tcPr>
          <w:p>
            <w:r>
              <w:rPr>
                <w:b/>
                <w:bCs/>
                <w:color w:val="FFFFFF"/>
                <w:sz w:val="21"/>
                <w:szCs w:val="21"/>
              </w:rPr>
              <w:t xml:space="preserve">Priority</w:t>
            </w:r>
          </w:p>
        </w:tc>
      </w:tr>
      <w:tr>
        <w:trPr>
          <w:cantSplit/>
        </w:trPr>
        <w:tc>
          <w:tcPr>
            <w:tcW w:type="pct" w:w="28%"/>
            <w:shd w:fill="F8F0EB" w:val="clear"/>
            <w:tcMar>
              <w:top w:type="dxa" w:w="60"/>
              <w:left w:type="dxa" w:w="120"/>
              <w:bottom w:type="dxa" w:w="60"/>
              <w:right w:type="dxa" w:w="120"/>
            </w:tcMar>
          </w:tcPr>
          <w:p>
            <w:r>
              <w:rPr>
                <w:sz w:val="21"/>
                <w:szCs w:val="21"/>
              </w:rPr>
              <w:t xml:space="preserve">Engineering</w:t>
            </w:r>
          </w:p>
        </w:tc>
        <w:tc>
          <w:tcPr>
            <w:tcW w:type="pct" w:w="22%"/>
            <w:shd w:fill="F8F0EB" w:val="clear"/>
            <w:tcMar>
              <w:top w:type="dxa" w:w="60"/>
              <w:left w:type="dxa" w:w="120"/>
              <w:bottom w:type="dxa" w:w="60"/>
              <w:right w:type="dxa" w:w="120"/>
            </w:tcMar>
          </w:tcPr>
          <w:p>
            <w:r>
              <w:rPr>
                <w:sz w:val="21"/>
                <w:szCs w:val="21"/>
              </w:rPr>
              <w:t xml:space="preserve">8</w:t>
            </w:r>
          </w:p>
        </w:tc>
        <w:tc>
          <w:tcPr>
            <w:tcW w:type="pct" w:w="22%"/>
            <w:shd w:fill="F8F0EB" w:val="clear"/>
            <w:tcMar>
              <w:top w:type="dxa" w:w="60"/>
              <w:left w:type="dxa" w:w="120"/>
              <w:bottom w:type="dxa" w:w="60"/>
              <w:right w:type="dxa" w:w="120"/>
            </w:tcMar>
          </w:tcPr>
          <w:p>
            <w:r>
              <w:rPr>
                <w:sz w:val="21"/>
                <w:szCs w:val="21"/>
              </w:rPr>
              <w:t xml:space="preserve">35</w:t>
            </w:r>
          </w:p>
        </w:tc>
        <w:tc>
          <w:tcPr>
            <w:tcW w:type="pct" w:w="28%"/>
            <w:shd w:fill="F8F0EB" w:val="clear"/>
            <w:tcMar>
              <w:top w:type="dxa" w:w="60"/>
              <w:left w:type="dxa" w:w="120"/>
              <w:bottom w:type="dxa" w:w="60"/>
              <w:right w:type="dxa" w:w="120"/>
            </w:tcMar>
          </w:tcPr>
          <w:p>
            <w:r>
              <w:rPr>
                <w:sz w:val="21"/>
                <w:szCs w:val="21"/>
              </w:rPr>
              <w:t xml:space="preserve">Critical</w:t>
            </w:r>
          </w:p>
        </w:tc>
      </w:tr>
      <w:tr>
        <w:trPr>
          <w:cantSplit/>
        </w:trPr>
        <w:tc>
          <w:tcPr>
            <w:tcW w:type="pct" w:w="28%"/>
            <w:shd w:fill="FFFFFF" w:val="clear"/>
            <w:tcMar>
              <w:top w:type="dxa" w:w="60"/>
              <w:left w:type="dxa" w:w="120"/>
              <w:bottom w:type="dxa" w:w="60"/>
              <w:right w:type="dxa" w:w="120"/>
            </w:tcMar>
          </w:tcPr>
          <w:p>
            <w:r>
              <w:rPr>
                <w:sz w:val="21"/>
                <w:szCs w:val="21"/>
              </w:rPr>
              <w:t xml:space="preserve">Product/Design</w:t>
            </w:r>
          </w:p>
        </w:tc>
        <w:tc>
          <w:tcPr>
            <w:tcW w:type="pct" w:w="22%"/>
            <w:shd w:fill="FFFFFF" w:val="clear"/>
            <w:tcMar>
              <w:top w:type="dxa" w:w="60"/>
              <w:left w:type="dxa" w:w="120"/>
              <w:bottom w:type="dxa" w:w="60"/>
              <w:right w:type="dxa" w:w="120"/>
            </w:tcMar>
          </w:tcPr>
          <w:p>
            <w:r>
              <w:rPr>
                <w:sz w:val="21"/>
                <w:szCs w:val="21"/>
              </w:rPr>
              <w:t xml:space="preserve">3</w:t>
            </w:r>
          </w:p>
        </w:tc>
        <w:tc>
          <w:tcPr>
            <w:tcW w:type="pct" w:w="22%"/>
            <w:shd w:fill="FFFFFF" w:val="clear"/>
            <w:tcMar>
              <w:top w:type="dxa" w:w="60"/>
              <w:left w:type="dxa" w:w="120"/>
              <w:bottom w:type="dxa" w:w="60"/>
              <w:right w:type="dxa" w:w="120"/>
            </w:tcMar>
          </w:tcPr>
          <w:p>
            <w:r>
              <w:rPr>
                <w:sz w:val="21"/>
                <w:szCs w:val="21"/>
              </w:rPr>
              <w:t xml:space="preserve">12</w:t>
            </w:r>
          </w:p>
        </w:tc>
        <w:tc>
          <w:tcPr>
            <w:tcW w:type="pct" w:w="28%"/>
            <w:shd w:fill="FFFFFF" w:val="clear"/>
            <w:tcMar>
              <w:top w:type="dxa" w:w="60"/>
              <w:left w:type="dxa" w:w="120"/>
              <w:bottom w:type="dxa" w:w="60"/>
              <w:right w:type="dxa" w:w="120"/>
            </w:tcMar>
          </w:tcPr>
          <w:p>
            <w:r>
              <w:rPr>
                <w:sz w:val="21"/>
                <w:szCs w:val="21"/>
              </w:rPr>
              <w:t xml:space="preserve">High</w:t>
            </w:r>
          </w:p>
        </w:tc>
      </w:tr>
      <w:tr>
        <w:trPr>
          <w:cantSplit/>
        </w:trPr>
        <w:tc>
          <w:tcPr>
            <w:tcW w:type="pct" w:w="28%"/>
            <w:shd w:fill="F8F0EB" w:val="clear"/>
            <w:tcMar>
              <w:top w:type="dxa" w:w="60"/>
              <w:left w:type="dxa" w:w="120"/>
              <w:bottom w:type="dxa" w:w="60"/>
              <w:right w:type="dxa" w:w="120"/>
            </w:tcMar>
          </w:tcPr>
          <w:p>
            <w:r>
              <w:rPr>
                <w:sz w:val="21"/>
                <w:szCs w:val="21"/>
              </w:rPr>
              <w:t xml:space="preserve">Sales/Marketing</w:t>
            </w:r>
          </w:p>
        </w:tc>
        <w:tc>
          <w:tcPr>
            <w:tcW w:type="pct" w:w="22%"/>
            <w:shd w:fill="F8F0EB" w:val="clear"/>
            <w:tcMar>
              <w:top w:type="dxa" w:w="60"/>
              <w:left w:type="dxa" w:w="120"/>
              <w:bottom w:type="dxa" w:w="60"/>
              <w:right w:type="dxa" w:w="120"/>
            </w:tcMar>
          </w:tcPr>
          <w:p>
            <w:r>
              <w:rPr>
                <w:sz w:val="21"/>
                <w:szCs w:val="21"/>
              </w:rPr>
              <w:t xml:space="preserve">4</w:t>
            </w:r>
          </w:p>
        </w:tc>
        <w:tc>
          <w:tcPr>
            <w:tcW w:type="pct" w:w="22%"/>
            <w:shd w:fill="F8F0EB" w:val="clear"/>
            <w:tcMar>
              <w:top w:type="dxa" w:w="60"/>
              <w:left w:type="dxa" w:w="120"/>
              <w:bottom w:type="dxa" w:w="60"/>
              <w:right w:type="dxa" w:w="120"/>
            </w:tcMar>
          </w:tcPr>
          <w:p>
            <w:r>
              <w:rPr>
                <w:sz w:val="21"/>
                <w:szCs w:val="21"/>
              </w:rPr>
              <w:t xml:space="preserve">20</w:t>
            </w:r>
          </w:p>
        </w:tc>
        <w:tc>
          <w:tcPr>
            <w:tcW w:type="pct" w:w="28%"/>
            <w:shd w:fill="F8F0EB" w:val="clear"/>
            <w:tcMar>
              <w:top w:type="dxa" w:w="60"/>
              <w:left w:type="dxa" w:w="120"/>
              <w:bottom w:type="dxa" w:w="60"/>
              <w:right w:type="dxa" w:w="120"/>
            </w:tcMar>
          </w:tcPr>
          <w:p>
            <w:r>
              <w:rPr>
                <w:sz w:val="21"/>
                <w:szCs w:val="21"/>
              </w:rPr>
              <w:t xml:space="preserve">High</w:t>
            </w:r>
          </w:p>
        </w:tc>
      </w:tr>
      <w:tr>
        <w:trPr>
          <w:cantSplit/>
        </w:trPr>
        <w:tc>
          <w:tcPr>
            <w:tcW w:type="pct" w:w="28%"/>
            <w:shd w:fill="FFFFFF" w:val="clear"/>
            <w:tcMar>
              <w:top w:type="dxa" w:w="60"/>
              <w:left w:type="dxa" w:w="120"/>
              <w:bottom w:type="dxa" w:w="60"/>
              <w:right w:type="dxa" w:w="120"/>
            </w:tcMar>
          </w:tcPr>
          <w:p>
            <w:r>
              <w:rPr>
                <w:sz w:val="21"/>
                <w:szCs w:val="21"/>
              </w:rPr>
              <w:t xml:space="preserve">Customer Success</w:t>
            </w:r>
          </w:p>
        </w:tc>
        <w:tc>
          <w:tcPr>
            <w:tcW w:type="pct" w:w="22%"/>
            <w:shd w:fill="FFFFFF" w:val="clear"/>
            <w:tcMar>
              <w:top w:type="dxa" w:w="60"/>
              <w:left w:type="dxa" w:w="120"/>
              <w:bottom w:type="dxa" w:w="60"/>
              <w:right w:type="dxa" w:w="120"/>
            </w:tcMar>
          </w:tcPr>
          <w:p>
            <w:r>
              <w:rPr>
                <w:sz w:val="21"/>
                <w:szCs w:val="21"/>
              </w:rPr>
              <w:t xml:space="preserve">3</w:t>
            </w:r>
          </w:p>
        </w:tc>
        <w:tc>
          <w:tcPr>
            <w:tcW w:type="pct" w:w="22%"/>
            <w:shd w:fill="FFFFFF" w:val="clear"/>
            <w:tcMar>
              <w:top w:type="dxa" w:w="60"/>
              <w:left w:type="dxa" w:w="120"/>
              <w:bottom w:type="dxa" w:w="60"/>
              <w:right w:type="dxa" w:w="120"/>
            </w:tcMar>
          </w:tcPr>
          <w:p>
            <w:r>
              <w:rPr>
                <w:sz w:val="21"/>
                <w:szCs w:val="21"/>
              </w:rPr>
              <w:t xml:space="preserve">15</w:t>
            </w:r>
          </w:p>
        </w:tc>
        <w:tc>
          <w:tcPr>
            <w:tcW w:type="pct" w:w="28%"/>
            <w:shd w:fill="FFFFFF" w:val="clear"/>
            <w:tcMar>
              <w:top w:type="dxa" w:w="60"/>
              <w:left w:type="dxa" w:w="120"/>
              <w:bottom w:type="dxa" w:w="60"/>
              <w:right w:type="dxa" w:w="120"/>
            </w:tcMar>
          </w:tcPr>
          <w:p>
            <w:r>
              <w:rPr>
                <w:sz w:val="21"/>
                <w:szCs w:val="21"/>
              </w:rPr>
              <w:t xml:space="preserve">Medium</w:t>
            </w:r>
          </w:p>
        </w:tc>
      </w:tr>
      <w:tr>
        <w:trPr>
          <w:cantSplit/>
        </w:trPr>
        <w:tc>
          <w:tcPr>
            <w:tcW w:type="pct" w:w="28%"/>
            <w:shd w:fill="F8F0EB" w:val="clear"/>
            <w:tcMar>
              <w:top w:type="dxa" w:w="60"/>
              <w:left w:type="dxa" w:w="120"/>
              <w:bottom w:type="dxa" w:w="60"/>
              <w:right w:type="dxa" w:w="120"/>
            </w:tcMar>
          </w:tcPr>
          <w:p>
            <w:r>
              <w:rPr>
                <w:sz w:val="21"/>
                <w:szCs w:val="21"/>
              </w:rPr>
              <w:t xml:space="preserve">Operations</w:t>
            </w:r>
          </w:p>
        </w:tc>
        <w:tc>
          <w:tcPr>
            <w:tcW w:type="pct" w:w="22%"/>
            <w:shd w:fill="F8F0EB" w:val="clear"/>
            <w:tcMar>
              <w:top w:type="dxa" w:w="60"/>
              <w:left w:type="dxa" w:w="120"/>
              <w:bottom w:type="dxa" w:w="60"/>
              <w:right w:type="dxa" w:w="120"/>
            </w:tcMar>
          </w:tcPr>
          <w:p>
            <w:r>
              <w:rPr>
                <w:sz w:val="21"/>
                <w:szCs w:val="21"/>
              </w:rPr>
              <w:t xml:space="preserve">2</w:t>
            </w:r>
          </w:p>
        </w:tc>
        <w:tc>
          <w:tcPr>
            <w:tcW w:type="pct" w:w="22%"/>
            <w:shd w:fill="F8F0EB" w:val="clear"/>
            <w:tcMar>
              <w:top w:type="dxa" w:w="60"/>
              <w:left w:type="dxa" w:w="120"/>
              <w:bottom w:type="dxa" w:w="60"/>
              <w:right w:type="dxa" w:w="120"/>
            </w:tcMar>
          </w:tcPr>
          <w:p>
            <w:r>
              <w:rPr>
                <w:sz w:val="21"/>
                <w:szCs w:val="21"/>
              </w:rPr>
              <w:t xml:space="preserve">8</w:t>
            </w:r>
          </w:p>
        </w:tc>
        <w:tc>
          <w:tcPr>
            <w:tcW w:type="pct" w:w="28%"/>
            <w:shd w:fill="F8F0EB" w:val="clear"/>
            <w:tcMar>
              <w:top w:type="dxa" w:w="60"/>
              <w:left w:type="dxa" w:w="120"/>
              <w:bottom w:type="dxa" w:w="60"/>
              <w:right w:type="dxa" w:w="120"/>
            </w:tcMar>
          </w:tcPr>
          <w:p>
            <w:r>
              <w:rPr>
                <w:sz w:val="21"/>
                <w:szCs w:val="21"/>
              </w:rPr>
              <w:t xml:space="preserve">Medium</w:t>
            </w:r>
          </w:p>
        </w:tc>
      </w:tr>
      <w:tr>
        <w:trPr>
          <w:cantSplit/>
        </w:trPr>
        <w:tc>
          <w:tcPr>
            <w:tcW w:type="pct" w:w="28%"/>
            <w:shd w:fill="FFFFFF" w:val="clear"/>
            <w:tcMar>
              <w:top w:type="dxa" w:w="60"/>
              <w:left w:type="dxa" w:w="120"/>
              <w:bottom w:type="dxa" w:w="60"/>
              <w:right w:type="dxa" w:w="120"/>
            </w:tcMar>
          </w:tcPr>
          <w:p>
            <w:r>
              <w:rPr>
                <w:sz w:val="21"/>
                <w:szCs w:val="21"/>
              </w:rPr>
              <w:t xml:space="preserve">Total</w:t>
            </w:r>
          </w:p>
        </w:tc>
        <w:tc>
          <w:tcPr>
            <w:tcW w:type="pct" w:w="22%"/>
            <w:shd w:fill="FFFFFF" w:val="clear"/>
            <w:tcMar>
              <w:top w:type="dxa" w:w="60"/>
              <w:left w:type="dxa" w:w="120"/>
              <w:bottom w:type="dxa" w:w="60"/>
              <w:right w:type="dxa" w:w="120"/>
            </w:tcMar>
          </w:tcPr>
          <w:p>
            <w:r>
              <w:rPr>
                <w:sz w:val="21"/>
                <w:szCs w:val="21"/>
              </w:rPr>
              <w:t xml:space="preserve">20</w:t>
            </w:r>
          </w:p>
        </w:tc>
        <w:tc>
          <w:tcPr>
            <w:tcW w:type="pct" w:w="22%"/>
            <w:shd w:fill="FFFFFF" w:val="clear"/>
            <w:tcMar>
              <w:top w:type="dxa" w:w="60"/>
              <w:left w:type="dxa" w:w="120"/>
              <w:bottom w:type="dxa" w:w="60"/>
              <w:right w:type="dxa" w:w="120"/>
            </w:tcMar>
          </w:tcPr>
          <w:p>
            <w:r>
              <w:rPr>
                <w:sz w:val="21"/>
                <w:szCs w:val="21"/>
              </w:rPr>
              <w:t xml:space="preserve">90</w:t>
            </w:r>
          </w:p>
        </w:tc>
        <w:tc>
          <w:tcPr>
            <w:tcW w:type="pct" w:w="28%"/>
            <w:shd w:fill="FFFFFF" w:val="clear"/>
            <w:tcMar>
              <w:top w:type="dxa" w:w="60"/>
              <w:left w:type="dxa" w:w="120"/>
              <w:bottom w:type="dxa" w:w="60"/>
              <w:right w:type="dxa" w:w="120"/>
            </w:tcMar>
          </w:tcPr>
          <w:p>
            <w:r>
              <w:rPr>
                <w:sz w:val="21"/>
                <w:szCs w:val="21"/>
              </w:rPr>
              <w:t xml:space="preserve">-</w:t>
            </w:r>
          </w:p>
        </w:tc>
      </w:tr>
    </w:tbl>
    <w:p>
      <w:pPr>
        <w:spacing w:after="200"/>
      </w:pPr>
    </w:p>
    <w:p>
      <w:pPr>
        <w:pStyle w:val="Heading2"/>
        <w:spacing w:after="160" w:before="300" w:line="312"/>
      </w:pPr>
      <w:bookmarkStart w:id="100113" w:name="_Toc100113"/>
      <w:r>
        <w:rPr>
          <w:rFonts w:ascii="Calibri" w:eastAsia="SimHei"/>
          <w:b/>
          <w:bCs/>
          <w:color w:val="1A2330"/>
          <w:sz w:val="28"/>
          <w:szCs w:val="28"/>
        </w:rPr>
        <w:t xml:space="preserve">9.4 Organizational Structure</w:t>
      </w:r>
      <w:bookmarkEnd w:id="100113"/>
    </w:p>
    <w:p>
      <w:pPr>
        <w:spacing w:after="120" w:line="312"/>
        <w:ind w:firstLine="480"/>
        <w:jc w:val="both"/>
      </w:pPr>
      <w:r>
        <w:rPr>
          <w:rFonts w:ascii="Times New Roman" w:eastAsia="Microsoft YaHei"/>
          <w:color w:val="2C3E50"/>
          <w:sz w:val="24"/>
          <w:szCs w:val="24"/>
        </w:rPr>
        <w:t xml:space="preserve">Endeavor Science maintains a flat organizational structure optimized for speed and innovation: Engineering, Product, and Commercial functions report directly to CEO. Cross-functional pods form around major initiatives. Regular all-hands meetings ensure alignment. Distributed-first culture enables talent acquisition regardless of geography.</w:t>
      </w:r>
    </w:p>
    <w:p>
      <w:pPr>
        <w:pStyle w:val="Heading1"/>
        <w:spacing w:after="200" w:before="400" w:line="312"/>
      </w:pPr>
      <w:bookmarkStart w:id="100114" w:name="_Toc100114"/>
      <w:r>
        <w:rPr>
          <w:rFonts w:ascii="Calibri" w:eastAsia="SimHei"/>
          <w:b/>
          <w:bCs/>
          <w:color w:val="1A2330"/>
          <w:sz w:val="32"/>
          <w:szCs w:val="32"/>
        </w:rPr>
        <w:t xml:space="preserve">10. Financial Projections</w:t>
      </w:r>
      <w:bookmarkEnd w:id="100114"/>
    </w:p>
    <w:p>
      <w:pPr>
        <w:pStyle w:val="Heading2"/>
        <w:spacing w:after="160" w:before="300" w:line="312"/>
      </w:pPr>
      <w:bookmarkStart w:id="100115" w:name="_Toc100115"/>
      <w:r>
        <w:rPr>
          <w:rFonts w:ascii="Calibri" w:eastAsia="SimHei"/>
          <w:b/>
          <w:bCs/>
          <w:color w:val="1A2330"/>
          <w:sz w:val="28"/>
          <w:szCs w:val="28"/>
        </w:rPr>
        <w:t xml:space="preserve">10.1 Five-Year P&amp;L Summary</w:t>
      </w:r>
      <w:bookmarkEnd w:id="100115"/>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gridCol w:w="100"/>
      </w:tblGrid>
      <w:tr>
        <w:trPr>
          <w:cantSplit/>
          <w:tblHeader/>
        </w:trPr>
        <w:tc>
          <w:tcPr>
            <w:tcW w:type="pct" w:w="28%"/>
            <w:shd w:fill="D4875A" w:val="clear"/>
            <w:tcMar>
              <w:top w:type="dxa" w:w="60"/>
              <w:left w:type="dxa" w:w="120"/>
              <w:bottom w:type="dxa" w:w="60"/>
              <w:right w:type="dxa" w:w="120"/>
            </w:tcMar>
          </w:tcPr>
          <w:p>
            <w:r>
              <w:rPr>
                <w:b/>
                <w:bCs/>
                <w:color w:val="FFFFFF"/>
                <w:sz w:val="21"/>
                <w:szCs w:val="21"/>
              </w:rPr>
              <w:t xml:space="preserve">($ thousands)</w:t>
            </w:r>
          </w:p>
        </w:tc>
        <w:tc>
          <w:tcPr>
            <w:tcW w:type="pct" w:w="12%"/>
            <w:shd w:fill="D4875A" w:val="clear"/>
            <w:tcMar>
              <w:top w:type="dxa" w:w="60"/>
              <w:left w:type="dxa" w:w="120"/>
              <w:bottom w:type="dxa" w:w="60"/>
              <w:right w:type="dxa" w:w="120"/>
            </w:tcMar>
          </w:tcPr>
          <w:p>
            <w:r>
              <w:rPr>
                <w:b/>
                <w:bCs/>
                <w:color w:val="FFFFFF"/>
                <w:sz w:val="21"/>
                <w:szCs w:val="21"/>
              </w:rPr>
              <w:t xml:space="preserve">Year 1</w:t>
            </w:r>
          </w:p>
        </w:tc>
        <w:tc>
          <w:tcPr>
            <w:tcW w:type="pct" w:w="14%"/>
            <w:shd w:fill="D4875A" w:val="clear"/>
            <w:tcMar>
              <w:top w:type="dxa" w:w="60"/>
              <w:left w:type="dxa" w:w="120"/>
              <w:bottom w:type="dxa" w:w="60"/>
              <w:right w:type="dxa" w:w="120"/>
            </w:tcMar>
          </w:tcPr>
          <w:p>
            <w:r>
              <w:rPr>
                <w:b/>
                <w:bCs/>
                <w:color w:val="FFFFFF"/>
                <w:sz w:val="21"/>
                <w:szCs w:val="21"/>
              </w:rPr>
              <w:t xml:space="preserve">Year 2</w:t>
            </w:r>
          </w:p>
        </w:tc>
        <w:tc>
          <w:tcPr>
            <w:tcW w:type="pct" w:w="16%"/>
            <w:shd w:fill="D4875A" w:val="clear"/>
            <w:tcMar>
              <w:top w:type="dxa" w:w="60"/>
              <w:left w:type="dxa" w:w="120"/>
              <w:bottom w:type="dxa" w:w="60"/>
              <w:right w:type="dxa" w:w="120"/>
            </w:tcMar>
          </w:tcPr>
          <w:p>
            <w:r>
              <w:rPr>
                <w:b/>
                <w:bCs/>
                <w:color w:val="FFFFFF"/>
                <w:sz w:val="21"/>
                <w:szCs w:val="21"/>
              </w:rPr>
              <w:t xml:space="preserve">Year 3</w:t>
            </w:r>
          </w:p>
        </w:tc>
        <w:tc>
          <w:tcPr>
            <w:tcW w:type="pct" w:w="16%"/>
            <w:shd w:fill="D4875A" w:val="clear"/>
            <w:tcMar>
              <w:top w:type="dxa" w:w="60"/>
              <w:left w:type="dxa" w:w="120"/>
              <w:bottom w:type="dxa" w:w="60"/>
              <w:right w:type="dxa" w:w="120"/>
            </w:tcMar>
          </w:tcPr>
          <w:p>
            <w:r>
              <w:rPr>
                <w:b/>
                <w:bCs/>
                <w:color w:val="FFFFFF"/>
                <w:sz w:val="21"/>
                <w:szCs w:val="21"/>
              </w:rPr>
              <w:t xml:space="preserve">Year 4</w:t>
            </w:r>
          </w:p>
        </w:tc>
        <w:tc>
          <w:tcPr>
            <w:tcW w:type="pct" w:w="14%"/>
            <w:shd w:fill="D4875A" w:val="clear"/>
            <w:tcMar>
              <w:top w:type="dxa" w:w="60"/>
              <w:left w:type="dxa" w:w="120"/>
              <w:bottom w:type="dxa" w:w="60"/>
              <w:right w:type="dxa" w:w="120"/>
            </w:tcMar>
          </w:tcPr>
          <w:p>
            <w:r>
              <w:rPr>
                <w:b/>
                <w:bCs/>
                <w:color w:val="FFFFFF"/>
                <w:sz w:val="21"/>
                <w:szCs w:val="21"/>
              </w:rPr>
              <w:t xml:space="preserve">Year 5</w:t>
            </w:r>
          </w:p>
        </w:tc>
      </w:tr>
      <w:tr>
        <w:trPr>
          <w:cantSplit/>
        </w:trPr>
        <w:tc>
          <w:tcPr>
            <w:tcW w:type="pct" w:w="28%"/>
            <w:shd w:fill="F8F0EB" w:val="clear"/>
            <w:tcMar>
              <w:top w:type="dxa" w:w="60"/>
              <w:left w:type="dxa" w:w="120"/>
              <w:bottom w:type="dxa" w:w="60"/>
              <w:right w:type="dxa" w:w="120"/>
            </w:tcMar>
          </w:tcPr>
          <w:p>
            <w:r>
              <w:rPr>
                <w:sz w:val="21"/>
                <w:szCs w:val="21"/>
              </w:rPr>
              <w:t xml:space="preserve">Subscription Revenue</w:t>
            </w:r>
          </w:p>
        </w:tc>
        <w:tc>
          <w:tcPr>
            <w:tcW w:type="pct" w:w="12%"/>
            <w:shd w:fill="F8F0EB" w:val="clear"/>
            <w:tcMar>
              <w:top w:type="dxa" w:w="60"/>
              <w:left w:type="dxa" w:w="120"/>
              <w:bottom w:type="dxa" w:w="60"/>
              <w:right w:type="dxa" w:w="120"/>
            </w:tcMar>
          </w:tcPr>
          <w:p>
            <w:r>
              <w:rPr>
                <w:sz w:val="21"/>
                <w:szCs w:val="21"/>
              </w:rPr>
              <w:t xml:space="preserve">700</w:t>
            </w:r>
          </w:p>
        </w:tc>
        <w:tc>
          <w:tcPr>
            <w:tcW w:type="pct" w:w="14%"/>
            <w:shd w:fill="F8F0EB" w:val="clear"/>
            <w:tcMar>
              <w:top w:type="dxa" w:w="60"/>
              <w:left w:type="dxa" w:w="120"/>
              <w:bottom w:type="dxa" w:w="60"/>
              <w:right w:type="dxa" w:w="120"/>
            </w:tcMar>
          </w:tcPr>
          <w:p>
            <w:r>
              <w:rPr>
                <w:sz w:val="21"/>
                <w:szCs w:val="21"/>
              </w:rPr>
              <w:t xml:space="preserve">3,200</w:t>
            </w:r>
          </w:p>
        </w:tc>
        <w:tc>
          <w:tcPr>
            <w:tcW w:type="pct" w:w="16%"/>
            <w:shd w:fill="F8F0EB" w:val="clear"/>
            <w:tcMar>
              <w:top w:type="dxa" w:w="60"/>
              <w:left w:type="dxa" w:w="120"/>
              <w:bottom w:type="dxa" w:w="60"/>
              <w:right w:type="dxa" w:w="120"/>
            </w:tcMar>
          </w:tcPr>
          <w:p>
            <w:r>
              <w:rPr>
                <w:sz w:val="21"/>
                <w:szCs w:val="21"/>
              </w:rPr>
              <w:t xml:space="preserve">13,000</w:t>
            </w:r>
          </w:p>
        </w:tc>
        <w:tc>
          <w:tcPr>
            <w:tcW w:type="pct" w:w="16%"/>
            <w:shd w:fill="F8F0EB" w:val="clear"/>
            <w:tcMar>
              <w:top w:type="dxa" w:w="60"/>
              <w:left w:type="dxa" w:w="120"/>
              <w:bottom w:type="dxa" w:w="60"/>
              <w:right w:type="dxa" w:w="120"/>
            </w:tcMar>
          </w:tcPr>
          <w:p>
            <w:r>
              <w:rPr>
                <w:sz w:val="21"/>
                <w:szCs w:val="21"/>
              </w:rPr>
              <w:t xml:space="preserve">31,000</w:t>
            </w:r>
          </w:p>
        </w:tc>
        <w:tc>
          <w:tcPr>
            <w:tcW w:type="pct" w:w="14%"/>
            <w:shd w:fill="F8F0EB" w:val="clear"/>
            <w:tcMar>
              <w:top w:type="dxa" w:w="60"/>
              <w:left w:type="dxa" w:w="120"/>
              <w:bottom w:type="dxa" w:w="60"/>
              <w:right w:type="dxa" w:w="120"/>
            </w:tcMar>
          </w:tcPr>
          <w:p>
            <w:r>
              <w:rPr>
                <w:sz w:val="21"/>
                <w:szCs w:val="21"/>
              </w:rPr>
              <w:t xml:space="preserve">62,000</w:t>
            </w:r>
          </w:p>
        </w:tc>
      </w:tr>
      <w:tr>
        <w:trPr>
          <w:cantSplit/>
        </w:trPr>
        <w:tc>
          <w:tcPr>
            <w:tcW w:type="pct" w:w="28%"/>
            <w:shd w:fill="FFFFFF" w:val="clear"/>
            <w:tcMar>
              <w:top w:type="dxa" w:w="60"/>
              <w:left w:type="dxa" w:w="120"/>
              <w:bottom w:type="dxa" w:w="60"/>
              <w:right w:type="dxa" w:w="120"/>
            </w:tcMar>
          </w:tcPr>
          <w:p>
            <w:r>
              <w:rPr>
                <w:sz w:val="21"/>
                <w:szCs w:val="21"/>
              </w:rPr>
              <w:t xml:space="preserve">Compute/Other Revenue</w:t>
            </w:r>
          </w:p>
        </w:tc>
        <w:tc>
          <w:tcPr>
            <w:tcW w:type="pct" w:w="12%"/>
            <w:shd w:fill="FFFFFF" w:val="clear"/>
            <w:tcMar>
              <w:top w:type="dxa" w:w="60"/>
              <w:left w:type="dxa" w:w="120"/>
              <w:bottom w:type="dxa" w:w="60"/>
              <w:right w:type="dxa" w:w="120"/>
            </w:tcMar>
          </w:tcPr>
          <w:p>
            <w:r>
              <w:rPr>
                <w:sz w:val="21"/>
                <w:szCs w:val="21"/>
              </w:rPr>
              <w:t xml:space="preserve">500</w:t>
            </w:r>
          </w:p>
        </w:tc>
        <w:tc>
          <w:tcPr>
            <w:tcW w:type="pct" w:w="14%"/>
            <w:shd w:fill="FFFFFF" w:val="clear"/>
            <w:tcMar>
              <w:top w:type="dxa" w:w="60"/>
              <w:left w:type="dxa" w:w="120"/>
              <w:bottom w:type="dxa" w:w="60"/>
              <w:right w:type="dxa" w:w="120"/>
            </w:tcMar>
          </w:tcPr>
          <w:p>
            <w:r>
              <w:rPr>
                <w:sz w:val="21"/>
                <w:szCs w:val="21"/>
              </w:rPr>
              <w:t xml:space="preserve">1,500</w:t>
            </w:r>
          </w:p>
        </w:tc>
        <w:tc>
          <w:tcPr>
            <w:tcW w:type="pct" w:w="16%"/>
            <w:shd w:fill="FFFFFF" w:val="clear"/>
            <w:tcMar>
              <w:top w:type="dxa" w:w="60"/>
              <w:left w:type="dxa" w:w="120"/>
              <w:bottom w:type="dxa" w:w="60"/>
              <w:right w:type="dxa" w:w="120"/>
            </w:tcMar>
          </w:tcPr>
          <w:p>
            <w:r>
              <w:rPr>
                <w:sz w:val="21"/>
                <w:szCs w:val="21"/>
              </w:rPr>
              <w:t xml:space="preserve">5,000</w:t>
            </w:r>
          </w:p>
        </w:tc>
        <w:tc>
          <w:tcPr>
            <w:tcW w:type="pct" w:w="16%"/>
            <w:shd w:fill="FFFFFF" w:val="clear"/>
            <w:tcMar>
              <w:top w:type="dxa" w:w="60"/>
              <w:left w:type="dxa" w:w="120"/>
              <w:bottom w:type="dxa" w:w="60"/>
              <w:right w:type="dxa" w:w="120"/>
            </w:tcMar>
          </w:tcPr>
          <w:p>
            <w:r>
              <w:rPr>
                <w:sz w:val="21"/>
                <w:szCs w:val="21"/>
              </w:rPr>
              <w:t xml:space="preserve">11,000</w:t>
            </w:r>
          </w:p>
        </w:tc>
        <w:tc>
          <w:tcPr>
            <w:tcW w:type="pct" w:w="14%"/>
            <w:shd w:fill="FFFFFF" w:val="clear"/>
            <w:tcMar>
              <w:top w:type="dxa" w:w="60"/>
              <w:left w:type="dxa" w:w="120"/>
              <w:bottom w:type="dxa" w:w="60"/>
              <w:right w:type="dxa" w:w="120"/>
            </w:tcMar>
          </w:tcPr>
          <w:p>
            <w:r>
              <w:rPr>
                <w:sz w:val="21"/>
                <w:szCs w:val="21"/>
              </w:rPr>
              <w:t xml:space="preserve">23,000</w:t>
            </w:r>
          </w:p>
        </w:tc>
      </w:tr>
      <w:tr>
        <w:trPr>
          <w:cantSplit/>
        </w:trPr>
        <w:tc>
          <w:tcPr>
            <w:tcW w:type="pct" w:w="28%"/>
            <w:shd w:fill="F8F0EB" w:val="clear"/>
            <w:tcMar>
              <w:top w:type="dxa" w:w="60"/>
              <w:left w:type="dxa" w:w="120"/>
              <w:bottom w:type="dxa" w:w="60"/>
              <w:right w:type="dxa" w:w="120"/>
            </w:tcMar>
          </w:tcPr>
          <w:p>
            <w:r>
              <w:rPr>
                <w:sz w:val="21"/>
                <w:szCs w:val="21"/>
              </w:rPr>
              <w:t xml:space="preserve">Total Revenue</w:t>
            </w:r>
          </w:p>
        </w:tc>
        <w:tc>
          <w:tcPr>
            <w:tcW w:type="pct" w:w="12%"/>
            <w:shd w:fill="F8F0EB" w:val="clear"/>
            <w:tcMar>
              <w:top w:type="dxa" w:w="60"/>
              <w:left w:type="dxa" w:w="120"/>
              <w:bottom w:type="dxa" w:w="60"/>
              <w:right w:type="dxa" w:w="120"/>
            </w:tcMar>
          </w:tcPr>
          <w:p>
            <w:r>
              <w:rPr>
                <w:sz w:val="21"/>
                <w:szCs w:val="21"/>
              </w:rPr>
              <w:t xml:space="preserve">1,200</w:t>
            </w:r>
          </w:p>
        </w:tc>
        <w:tc>
          <w:tcPr>
            <w:tcW w:type="pct" w:w="14%"/>
            <w:shd w:fill="F8F0EB" w:val="clear"/>
            <w:tcMar>
              <w:top w:type="dxa" w:w="60"/>
              <w:left w:type="dxa" w:w="120"/>
              <w:bottom w:type="dxa" w:w="60"/>
              <w:right w:type="dxa" w:w="120"/>
            </w:tcMar>
          </w:tcPr>
          <w:p>
            <w:r>
              <w:rPr>
                <w:sz w:val="21"/>
                <w:szCs w:val="21"/>
              </w:rPr>
              <w:t xml:space="preserve">4,700</w:t>
            </w:r>
          </w:p>
        </w:tc>
        <w:tc>
          <w:tcPr>
            <w:tcW w:type="pct" w:w="16%"/>
            <w:shd w:fill="F8F0EB" w:val="clear"/>
            <w:tcMar>
              <w:top w:type="dxa" w:w="60"/>
              <w:left w:type="dxa" w:w="120"/>
              <w:bottom w:type="dxa" w:w="60"/>
              <w:right w:type="dxa" w:w="120"/>
            </w:tcMar>
          </w:tcPr>
          <w:p>
            <w:r>
              <w:rPr>
                <w:sz w:val="21"/>
                <w:szCs w:val="21"/>
              </w:rPr>
              <w:t xml:space="preserve">18,000</w:t>
            </w:r>
          </w:p>
        </w:tc>
        <w:tc>
          <w:tcPr>
            <w:tcW w:type="pct" w:w="16%"/>
            <w:shd w:fill="F8F0EB" w:val="clear"/>
            <w:tcMar>
              <w:top w:type="dxa" w:w="60"/>
              <w:left w:type="dxa" w:w="120"/>
              <w:bottom w:type="dxa" w:w="60"/>
              <w:right w:type="dxa" w:w="120"/>
            </w:tcMar>
          </w:tcPr>
          <w:p>
            <w:r>
              <w:rPr>
                <w:sz w:val="21"/>
                <w:szCs w:val="21"/>
              </w:rPr>
              <w:t xml:space="preserve">42,000</w:t>
            </w:r>
          </w:p>
        </w:tc>
        <w:tc>
          <w:tcPr>
            <w:tcW w:type="pct" w:w="14%"/>
            <w:shd w:fill="F8F0EB" w:val="clear"/>
            <w:tcMar>
              <w:top w:type="dxa" w:w="60"/>
              <w:left w:type="dxa" w:w="120"/>
              <w:bottom w:type="dxa" w:w="60"/>
              <w:right w:type="dxa" w:w="120"/>
            </w:tcMar>
          </w:tcPr>
          <w:p>
            <w:r>
              <w:rPr>
                <w:sz w:val="21"/>
                <w:szCs w:val="21"/>
              </w:rPr>
              <w:t xml:space="preserve">85,000</w:t>
            </w:r>
          </w:p>
        </w:tc>
      </w:tr>
      <w:tr>
        <w:trPr>
          <w:cantSplit/>
        </w:trPr>
        <w:tc>
          <w:tcPr>
            <w:tcW w:type="pct" w:w="28%"/>
            <w:shd w:fill="FFFFFF" w:val="clear"/>
            <w:tcMar>
              <w:top w:type="dxa" w:w="60"/>
              <w:left w:type="dxa" w:w="120"/>
              <w:bottom w:type="dxa" w:w="60"/>
              <w:right w:type="dxa" w:w="120"/>
            </w:tcMar>
          </w:tcPr>
          <w:p>
            <w:r>
              <w:rPr>
                <w:sz w:val="21"/>
                <w:szCs w:val="21"/>
              </w:rPr>
              <w:t xml:space="preserve">Cost of Revenue</w:t>
            </w:r>
          </w:p>
        </w:tc>
        <w:tc>
          <w:tcPr>
            <w:tcW w:type="pct" w:w="12%"/>
            <w:shd w:fill="FFFFFF" w:val="clear"/>
            <w:tcMar>
              <w:top w:type="dxa" w:w="60"/>
              <w:left w:type="dxa" w:w="120"/>
              <w:bottom w:type="dxa" w:w="60"/>
              <w:right w:type="dxa" w:w="120"/>
            </w:tcMar>
          </w:tcPr>
          <w:p>
            <w:r>
              <w:rPr>
                <w:sz w:val="21"/>
                <w:szCs w:val="21"/>
              </w:rPr>
              <w:t xml:space="preserve">(264)</w:t>
            </w:r>
          </w:p>
        </w:tc>
        <w:tc>
          <w:tcPr>
            <w:tcW w:type="pct" w:w="14%"/>
            <w:shd w:fill="FFFFFF" w:val="clear"/>
            <w:tcMar>
              <w:top w:type="dxa" w:w="60"/>
              <w:left w:type="dxa" w:w="120"/>
              <w:bottom w:type="dxa" w:w="60"/>
              <w:right w:type="dxa" w:w="120"/>
            </w:tcMar>
          </w:tcPr>
          <w:p>
            <w:r>
              <w:rPr>
                <w:sz w:val="21"/>
                <w:szCs w:val="21"/>
              </w:rPr>
              <w:t xml:space="preserve">(1,034)</w:t>
            </w:r>
          </w:p>
        </w:tc>
        <w:tc>
          <w:tcPr>
            <w:tcW w:type="pct" w:w="16%"/>
            <w:shd w:fill="FFFFFF" w:val="clear"/>
            <w:tcMar>
              <w:top w:type="dxa" w:w="60"/>
              <w:left w:type="dxa" w:w="120"/>
              <w:bottom w:type="dxa" w:w="60"/>
              <w:right w:type="dxa" w:w="120"/>
            </w:tcMar>
          </w:tcPr>
          <w:p>
            <w:r>
              <w:rPr>
                <w:sz w:val="21"/>
                <w:szCs w:val="21"/>
              </w:rPr>
              <w:t xml:space="preserve">(3,960)</w:t>
            </w:r>
          </w:p>
        </w:tc>
        <w:tc>
          <w:tcPr>
            <w:tcW w:type="pct" w:w="16%"/>
            <w:shd w:fill="FFFFFF" w:val="clear"/>
            <w:tcMar>
              <w:top w:type="dxa" w:w="60"/>
              <w:left w:type="dxa" w:w="120"/>
              <w:bottom w:type="dxa" w:w="60"/>
              <w:right w:type="dxa" w:w="120"/>
            </w:tcMar>
          </w:tcPr>
          <w:p>
            <w:r>
              <w:rPr>
                <w:sz w:val="21"/>
                <w:szCs w:val="21"/>
              </w:rPr>
              <w:t xml:space="preserve">(9,240)</w:t>
            </w:r>
          </w:p>
        </w:tc>
        <w:tc>
          <w:tcPr>
            <w:tcW w:type="pct" w:w="14%"/>
            <w:shd w:fill="FFFFFF" w:val="clear"/>
            <w:tcMar>
              <w:top w:type="dxa" w:w="60"/>
              <w:left w:type="dxa" w:w="120"/>
              <w:bottom w:type="dxa" w:w="60"/>
              <w:right w:type="dxa" w:w="120"/>
            </w:tcMar>
          </w:tcPr>
          <w:p>
            <w:r>
              <w:rPr>
                <w:sz w:val="21"/>
                <w:szCs w:val="21"/>
              </w:rPr>
              <w:t xml:space="preserve">(18,700)</w:t>
            </w:r>
          </w:p>
        </w:tc>
      </w:tr>
      <w:tr>
        <w:trPr>
          <w:cantSplit/>
        </w:trPr>
        <w:tc>
          <w:tcPr>
            <w:tcW w:type="pct" w:w="28%"/>
            <w:shd w:fill="F8F0EB" w:val="clear"/>
            <w:tcMar>
              <w:top w:type="dxa" w:w="60"/>
              <w:left w:type="dxa" w:w="120"/>
              <w:bottom w:type="dxa" w:w="60"/>
              <w:right w:type="dxa" w:w="120"/>
            </w:tcMar>
          </w:tcPr>
          <w:p>
            <w:r>
              <w:rPr>
                <w:sz w:val="21"/>
                <w:szCs w:val="21"/>
              </w:rPr>
              <w:t xml:space="preserve">Gross Profit</w:t>
            </w:r>
          </w:p>
        </w:tc>
        <w:tc>
          <w:tcPr>
            <w:tcW w:type="pct" w:w="12%"/>
            <w:shd w:fill="F8F0EB" w:val="clear"/>
            <w:tcMar>
              <w:top w:type="dxa" w:w="60"/>
              <w:left w:type="dxa" w:w="120"/>
              <w:bottom w:type="dxa" w:w="60"/>
              <w:right w:type="dxa" w:w="120"/>
            </w:tcMar>
          </w:tcPr>
          <w:p>
            <w:r>
              <w:rPr>
                <w:sz w:val="21"/>
                <w:szCs w:val="21"/>
              </w:rPr>
              <w:t xml:space="preserve">936</w:t>
            </w:r>
          </w:p>
        </w:tc>
        <w:tc>
          <w:tcPr>
            <w:tcW w:type="pct" w:w="14%"/>
            <w:shd w:fill="F8F0EB" w:val="clear"/>
            <w:tcMar>
              <w:top w:type="dxa" w:w="60"/>
              <w:left w:type="dxa" w:w="120"/>
              <w:bottom w:type="dxa" w:w="60"/>
              <w:right w:type="dxa" w:w="120"/>
            </w:tcMar>
          </w:tcPr>
          <w:p>
            <w:r>
              <w:rPr>
                <w:sz w:val="21"/>
                <w:szCs w:val="21"/>
              </w:rPr>
              <w:t xml:space="preserve">3,666</w:t>
            </w:r>
          </w:p>
        </w:tc>
        <w:tc>
          <w:tcPr>
            <w:tcW w:type="pct" w:w="16%"/>
            <w:shd w:fill="F8F0EB" w:val="clear"/>
            <w:tcMar>
              <w:top w:type="dxa" w:w="60"/>
              <w:left w:type="dxa" w:w="120"/>
              <w:bottom w:type="dxa" w:w="60"/>
              <w:right w:type="dxa" w:w="120"/>
            </w:tcMar>
          </w:tcPr>
          <w:p>
            <w:r>
              <w:rPr>
                <w:sz w:val="21"/>
                <w:szCs w:val="21"/>
              </w:rPr>
              <w:t xml:space="preserve">14,040</w:t>
            </w:r>
          </w:p>
        </w:tc>
        <w:tc>
          <w:tcPr>
            <w:tcW w:type="pct" w:w="16%"/>
            <w:shd w:fill="F8F0EB" w:val="clear"/>
            <w:tcMar>
              <w:top w:type="dxa" w:w="60"/>
              <w:left w:type="dxa" w:w="120"/>
              <w:bottom w:type="dxa" w:w="60"/>
              <w:right w:type="dxa" w:w="120"/>
            </w:tcMar>
          </w:tcPr>
          <w:p>
            <w:r>
              <w:rPr>
                <w:sz w:val="21"/>
                <w:szCs w:val="21"/>
              </w:rPr>
              <w:t xml:space="preserve">32,760</w:t>
            </w:r>
          </w:p>
        </w:tc>
        <w:tc>
          <w:tcPr>
            <w:tcW w:type="pct" w:w="14%"/>
            <w:shd w:fill="F8F0EB" w:val="clear"/>
            <w:tcMar>
              <w:top w:type="dxa" w:w="60"/>
              <w:left w:type="dxa" w:w="120"/>
              <w:bottom w:type="dxa" w:w="60"/>
              <w:right w:type="dxa" w:w="120"/>
            </w:tcMar>
          </w:tcPr>
          <w:p>
            <w:r>
              <w:rPr>
                <w:sz w:val="21"/>
                <w:szCs w:val="21"/>
              </w:rPr>
              <w:t xml:space="preserve">66,300</w:t>
            </w:r>
          </w:p>
        </w:tc>
      </w:tr>
      <w:tr>
        <w:trPr>
          <w:cantSplit/>
        </w:trPr>
        <w:tc>
          <w:tcPr>
            <w:tcW w:type="pct" w:w="28%"/>
            <w:shd w:fill="FFFFFF" w:val="clear"/>
            <w:tcMar>
              <w:top w:type="dxa" w:w="60"/>
              <w:left w:type="dxa" w:w="120"/>
              <w:bottom w:type="dxa" w:w="60"/>
              <w:right w:type="dxa" w:w="120"/>
            </w:tcMar>
          </w:tcPr>
          <w:p>
            <w:r>
              <w:rPr>
                <w:sz w:val="21"/>
                <w:szCs w:val="21"/>
              </w:rPr>
              <w:t xml:space="preserve">Sales &amp; Marketing</w:t>
            </w:r>
          </w:p>
        </w:tc>
        <w:tc>
          <w:tcPr>
            <w:tcW w:type="pct" w:w="12%"/>
            <w:shd w:fill="FFFFFF" w:val="clear"/>
            <w:tcMar>
              <w:top w:type="dxa" w:w="60"/>
              <w:left w:type="dxa" w:w="120"/>
              <w:bottom w:type="dxa" w:w="60"/>
              <w:right w:type="dxa" w:w="120"/>
            </w:tcMar>
          </w:tcPr>
          <w:p>
            <w:r>
              <w:rPr>
                <w:sz w:val="21"/>
                <w:szCs w:val="21"/>
              </w:rPr>
              <w:t xml:space="preserve">(1,800)</w:t>
            </w:r>
          </w:p>
        </w:tc>
        <w:tc>
          <w:tcPr>
            <w:tcW w:type="pct" w:w="14%"/>
            <w:shd w:fill="FFFFFF" w:val="clear"/>
            <w:tcMar>
              <w:top w:type="dxa" w:w="60"/>
              <w:left w:type="dxa" w:w="120"/>
              <w:bottom w:type="dxa" w:w="60"/>
              <w:right w:type="dxa" w:w="120"/>
            </w:tcMar>
          </w:tcPr>
          <w:p>
            <w:r>
              <w:rPr>
                <w:sz w:val="21"/>
                <w:szCs w:val="21"/>
              </w:rPr>
              <w:t xml:space="preserve">(4,000)</w:t>
            </w:r>
          </w:p>
        </w:tc>
        <w:tc>
          <w:tcPr>
            <w:tcW w:type="pct" w:w="16%"/>
            <w:shd w:fill="FFFFFF" w:val="clear"/>
            <w:tcMar>
              <w:top w:type="dxa" w:w="60"/>
              <w:left w:type="dxa" w:w="120"/>
              <w:bottom w:type="dxa" w:w="60"/>
              <w:right w:type="dxa" w:w="120"/>
            </w:tcMar>
          </w:tcPr>
          <w:p>
            <w:r>
              <w:rPr>
                <w:sz w:val="21"/>
                <w:szCs w:val="21"/>
              </w:rPr>
              <w:t xml:space="preserve">(8,000)</w:t>
            </w:r>
          </w:p>
        </w:tc>
        <w:tc>
          <w:tcPr>
            <w:tcW w:type="pct" w:w="16%"/>
            <w:shd w:fill="FFFFFF" w:val="clear"/>
            <w:tcMar>
              <w:top w:type="dxa" w:w="60"/>
              <w:left w:type="dxa" w:w="120"/>
              <w:bottom w:type="dxa" w:w="60"/>
              <w:right w:type="dxa" w:w="120"/>
            </w:tcMar>
          </w:tcPr>
          <w:p>
            <w:r>
              <w:rPr>
                <w:sz w:val="21"/>
                <w:szCs w:val="21"/>
              </w:rPr>
              <w:t xml:space="preserve">(14,000)</w:t>
            </w:r>
          </w:p>
        </w:tc>
        <w:tc>
          <w:tcPr>
            <w:tcW w:type="pct" w:w="14%"/>
            <w:shd w:fill="FFFFFF" w:val="clear"/>
            <w:tcMar>
              <w:top w:type="dxa" w:w="60"/>
              <w:left w:type="dxa" w:w="120"/>
              <w:bottom w:type="dxa" w:w="60"/>
              <w:right w:type="dxa" w:w="120"/>
            </w:tcMar>
          </w:tcPr>
          <w:p>
            <w:r>
              <w:rPr>
                <w:sz w:val="21"/>
                <w:szCs w:val="21"/>
              </w:rPr>
              <w:t xml:space="preserve">(22,000)</w:t>
            </w:r>
          </w:p>
        </w:tc>
      </w:tr>
      <w:tr>
        <w:trPr>
          <w:cantSplit/>
        </w:trPr>
        <w:tc>
          <w:tcPr>
            <w:tcW w:type="pct" w:w="28%"/>
            <w:shd w:fill="F8F0EB" w:val="clear"/>
            <w:tcMar>
              <w:top w:type="dxa" w:w="60"/>
              <w:left w:type="dxa" w:w="120"/>
              <w:bottom w:type="dxa" w:w="60"/>
              <w:right w:type="dxa" w:w="120"/>
            </w:tcMar>
          </w:tcPr>
          <w:p>
            <w:r>
              <w:rPr>
                <w:sz w:val="21"/>
                <w:szCs w:val="21"/>
              </w:rPr>
              <w:t xml:space="preserve">Research &amp; Development</w:t>
            </w:r>
          </w:p>
        </w:tc>
        <w:tc>
          <w:tcPr>
            <w:tcW w:type="pct" w:w="12%"/>
            <w:shd w:fill="F8F0EB" w:val="clear"/>
            <w:tcMar>
              <w:top w:type="dxa" w:w="60"/>
              <w:left w:type="dxa" w:w="120"/>
              <w:bottom w:type="dxa" w:w="60"/>
              <w:right w:type="dxa" w:w="120"/>
            </w:tcMar>
          </w:tcPr>
          <w:p>
            <w:r>
              <w:rPr>
                <w:sz w:val="21"/>
                <w:szCs w:val="21"/>
              </w:rPr>
              <w:t xml:space="preserve">(2,000)</w:t>
            </w:r>
          </w:p>
        </w:tc>
        <w:tc>
          <w:tcPr>
            <w:tcW w:type="pct" w:w="14%"/>
            <w:shd w:fill="F8F0EB" w:val="clear"/>
            <w:tcMar>
              <w:top w:type="dxa" w:w="60"/>
              <w:left w:type="dxa" w:w="120"/>
              <w:bottom w:type="dxa" w:w="60"/>
              <w:right w:type="dxa" w:w="120"/>
            </w:tcMar>
          </w:tcPr>
          <w:p>
            <w:r>
              <w:rPr>
                <w:sz w:val="21"/>
                <w:szCs w:val="21"/>
              </w:rPr>
              <w:t xml:space="preserve">(3,500)</w:t>
            </w:r>
          </w:p>
        </w:tc>
        <w:tc>
          <w:tcPr>
            <w:tcW w:type="pct" w:w="16%"/>
            <w:shd w:fill="F8F0EB" w:val="clear"/>
            <w:tcMar>
              <w:top w:type="dxa" w:w="60"/>
              <w:left w:type="dxa" w:w="120"/>
              <w:bottom w:type="dxa" w:w="60"/>
              <w:right w:type="dxa" w:w="120"/>
            </w:tcMar>
          </w:tcPr>
          <w:p>
            <w:r>
              <w:rPr>
                <w:sz w:val="21"/>
                <w:szCs w:val="21"/>
              </w:rPr>
              <w:t xml:space="preserve">(7,000)</w:t>
            </w:r>
          </w:p>
        </w:tc>
        <w:tc>
          <w:tcPr>
            <w:tcW w:type="pct" w:w="16%"/>
            <w:shd w:fill="F8F0EB" w:val="clear"/>
            <w:tcMar>
              <w:top w:type="dxa" w:w="60"/>
              <w:left w:type="dxa" w:w="120"/>
              <w:bottom w:type="dxa" w:w="60"/>
              <w:right w:type="dxa" w:w="120"/>
            </w:tcMar>
          </w:tcPr>
          <w:p>
            <w:r>
              <w:rPr>
                <w:sz w:val="21"/>
                <w:szCs w:val="21"/>
              </w:rPr>
              <w:t xml:space="preserve">(12,000)</w:t>
            </w:r>
          </w:p>
        </w:tc>
        <w:tc>
          <w:tcPr>
            <w:tcW w:type="pct" w:w="14%"/>
            <w:shd w:fill="F8F0EB" w:val="clear"/>
            <w:tcMar>
              <w:top w:type="dxa" w:w="60"/>
              <w:left w:type="dxa" w:w="120"/>
              <w:bottom w:type="dxa" w:w="60"/>
              <w:right w:type="dxa" w:w="120"/>
            </w:tcMar>
          </w:tcPr>
          <w:p>
            <w:r>
              <w:rPr>
                <w:sz w:val="21"/>
                <w:szCs w:val="21"/>
              </w:rPr>
              <w:t xml:space="preserve">(20,000)</w:t>
            </w:r>
          </w:p>
        </w:tc>
      </w:tr>
      <w:tr>
        <w:trPr>
          <w:cantSplit/>
        </w:trPr>
        <w:tc>
          <w:tcPr>
            <w:tcW w:type="pct" w:w="28%"/>
            <w:shd w:fill="FFFFFF" w:val="clear"/>
            <w:tcMar>
              <w:top w:type="dxa" w:w="60"/>
              <w:left w:type="dxa" w:w="120"/>
              <w:bottom w:type="dxa" w:w="60"/>
              <w:right w:type="dxa" w:w="120"/>
            </w:tcMar>
          </w:tcPr>
          <w:p>
            <w:r>
              <w:rPr>
                <w:sz w:val="21"/>
                <w:szCs w:val="21"/>
              </w:rPr>
              <w:t xml:space="preserve">General &amp; Administrative</w:t>
            </w:r>
          </w:p>
        </w:tc>
        <w:tc>
          <w:tcPr>
            <w:tcW w:type="pct" w:w="12%"/>
            <w:shd w:fill="FFFFFF" w:val="clear"/>
            <w:tcMar>
              <w:top w:type="dxa" w:w="60"/>
              <w:left w:type="dxa" w:w="120"/>
              <w:bottom w:type="dxa" w:w="60"/>
              <w:right w:type="dxa" w:w="120"/>
            </w:tcMar>
          </w:tcPr>
          <w:p>
            <w:r>
              <w:rPr>
                <w:sz w:val="21"/>
                <w:szCs w:val="21"/>
              </w:rPr>
              <w:t xml:space="preserve">(700)</w:t>
            </w:r>
          </w:p>
        </w:tc>
        <w:tc>
          <w:tcPr>
            <w:tcW w:type="pct" w:w="14%"/>
            <w:shd w:fill="FFFFFF" w:val="clear"/>
            <w:tcMar>
              <w:top w:type="dxa" w:w="60"/>
              <w:left w:type="dxa" w:w="120"/>
              <w:bottom w:type="dxa" w:w="60"/>
              <w:right w:type="dxa" w:w="120"/>
            </w:tcMar>
          </w:tcPr>
          <w:p>
            <w:r>
              <w:rPr>
                <w:sz w:val="21"/>
                <w:szCs w:val="21"/>
              </w:rPr>
              <w:t xml:space="preserve">(1,500)</w:t>
            </w:r>
          </w:p>
        </w:tc>
        <w:tc>
          <w:tcPr>
            <w:tcW w:type="pct" w:w="16%"/>
            <w:shd w:fill="FFFFFF" w:val="clear"/>
            <w:tcMar>
              <w:top w:type="dxa" w:w="60"/>
              <w:left w:type="dxa" w:w="120"/>
              <w:bottom w:type="dxa" w:w="60"/>
              <w:right w:type="dxa" w:w="120"/>
            </w:tcMar>
          </w:tcPr>
          <w:p>
            <w:r>
              <w:rPr>
                <w:sz w:val="21"/>
                <w:szCs w:val="21"/>
              </w:rPr>
              <w:t xml:space="preserve">(3,000)</w:t>
            </w:r>
          </w:p>
        </w:tc>
        <w:tc>
          <w:tcPr>
            <w:tcW w:type="pct" w:w="16%"/>
            <w:shd w:fill="FFFFFF" w:val="clear"/>
            <w:tcMar>
              <w:top w:type="dxa" w:w="60"/>
              <w:left w:type="dxa" w:w="120"/>
              <w:bottom w:type="dxa" w:w="60"/>
              <w:right w:type="dxa" w:w="120"/>
            </w:tcMar>
          </w:tcPr>
          <w:p>
            <w:r>
              <w:rPr>
                <w:sz w:val="21"/>
                <w:szCs w:val="21"/>
              </w:rPr>
              <w:t xml:space="preserve">(6,000)</w:t>
            </w:r>
          </w:p>
        </w:tc>
        <w:tc>
          <w:tcPr>
            <w:tcW w:type="pct" w:w="14%"/>
            <w:shd w:fill="FFFFFF" w:val="clear"/>
            <w:tcMar>
              <w:top w:type="dxa" w:w="60"/>
              <w:left w:type="dxa" w:w="120"/>
              <w:bottom w:type="dxa" w:w="60"/>
              <w:right w:type="dxa" w:w="120"/>
            </w:tcMar>
          </w:tcPr>
          <w:p>
            <w:r>
              <w:rPr>
                <w:sz w:val="21"/>
                <w:szCs w:val="21"/>
              </w:rPr>
              <w:t xml:space="preserve">(13,000)</w:t>
            </w:r>
          </w:p>
        </w:tc>
      </w:tr>
      <w:tr>
        <w:trPr>
          <w:cantSplit/>
        </w:trPr>
        <w:tc>
          <w:tcPr>
            <w:tcW w:type="pct" w:w="28%"/>
            <w:shd w:fill="F8F0EB" w:val="clear"/>
            <w:tcMar>
              <w:top w:type="dxa" w:w="60"/>
              <w:left w:type="dxa" w:w="120"/>
              <w:bottom w:type="dxa" w:w="60"/>
              <w:right w:type="dxa" w:w="120"/>
            </w:tcMar>
          </w:tcPr>
          <w:p>
            <w:r>
              <w:rPr>
                <w:sz w:val="21"/>
                <w:szCs w:val="21"/>
              </w:rPr>
              <w:t xml:space="preserve">Total Operating Exp</w:t>
            </w:r>
          </w:p>
        </w:tc>
        <w:tc>
          <w:tcPr>
            <w:tcW w:type="pct" w:w="12%"/>
            <w:shd w:fill="F8F0EB" w:val="clear"/>
            <w:tcMar>
              <w:top w:type="dxa" w:w="60"/>
              <w:left w:type="dxa" w:w="120"/>
              <w:bottom w:type="dxa" w:w="60"/>
              <w:right w:type="dxa" w:w="120"/>
            </w:tcMar>
          </w:tcPr>
          <w:p>
            <w:r>
              <w:rPr>
                <w:sz w:val="21"/>
                <w:szCs w:val="21"/>
              </w:rPr>
              <w:t xml:space="preserve">(4,500)</w:t>
            </w:r>
          </w:p>
        </w:tc>
        <w:tc>
          <w:tcPr>
            <w:tcW w:type="pct" w:w="14%"/>
            <w:shd w:fill="F8F0EB" w:val="clear"/>
            <w:tcMar>
              <w:top w:type="dxa" w:w="60"/>
              <w:left w:type="dxa" w:w="120"/>
              <w:bottom w:type="dxa" w:w="60"/>
              <w:right w:type="dxa" w:w="120"/>
            </w:tcMar>
          </w:tcPr>
          <w:p>
            <w:r>
              <w:rPr>
                <w:sz w:val="21"/>
                <w:szCs w:val="21"/>
              </w:rPr>
              <w:t xml:space="preserve">(9,000)</w:t>
            </w:r>
          </w:p>
        </w:tc>
        <w:tc>
          <w:tcPr>
            <w:tcW w:type="pct" w:w="16%"/>
            <w:shd w:fill="F8F0EB" w:val="clear"/>
            <w:tcMar>
              <w:top w:type="dxa" w:w="60"/>
              <w:left w:type="dxa" w:w="120"/>
              <w:bottom w:type="dxa" w:w="60"/>
              <w:right w:type="dxa" w:w="120"/>
            </w:tcMar>
          </w:tcPr>
          <w:p>
            <w:r>
              <w:rPr>
                <w:sz w:val="21"/>
                <w:szCs w:val="21"/>
              </w:rPr>
              <w:t xml:space="preserve">(18,000)</w:t>
            </w:r>
          </w:p>
        </w:tc>
        <w:tc>
          <w:tcPr>
            <w:tcW w:type="pct" w:w="16%"/>
            <w:shd w:fill="F8F0EB" w:val="clear"/>
            <w:tcMar>
              <w:top w:type="dxa" w:w="60"/>
              <w:left w:type="dxa" w:w="120"/>
              <w:bottom w:type="dxa" w:w="60"/>
              <w:right w:type="dxa" w:w="120"/>
            </w:tcMar>
          </w:tcPr>
          <w:p>
            <w:r>
              <w:rPr>
                <w:sz w:val="21"/>
                <w:szCs w:val="21"/>
              </w:rPr>
              <w:t xml:space="preserve">(32,000)</w:t>
            </w:r>
          </w:p>
        </w:tc>
        <w:tc>
          <w:tcPr>
            <w:tcW w:type="pct" w:w="14%"/>
            <w:shd w:fill="F8F0EB" w:val="clear"/>
            <w:tcMar>
              <w:top w:type="dxa" w:w="60"/>
              <w:left w:type="dxa" w:w="120"/>
              <w:bottom w:type="dxa" w:w="60"/>
              <w:right w:type="dxa" w:w="120"/>
            </w:tcMar>
          </w:tcPr>
          <w:p>
            <w:r>
              <w:rPr>
                <w:sz w:val="21"/>
                <w:szCs w:val="21"/>
              </w:rPr>
              <w:t xml:space="preserve">(55,000)</w:t>
            </w:r>
          </w:p>
        </w:tc>
      </w:tr>
      <w:tr>
        <w:trPr>
          <w:cantSplit/>
        </w:trPr>
        <w:tc>
          <w:tcPr>
            <w:tcW w:type="pct" w:w="28%"/>
            <w:shd w:fill="FFFFFF" w:val="clear"/>
            <w:tcMar>
              <w:top w:type="dxa" w:w="60"/>
              <w:left w:type="dxa" w:w="120"/>
              <w:bottom w:type="dxa" w:w="60"/>
              <w:right w:type="dxa" w:w="120"/>
            </w:tcMar>
          </w:tcPr>
          <w:p>
            <w:r>
              <w:rPr>
                <w:sz w:val="21"/>
                <w:szCs w:val="21"/>
              </w:rPr>
              <w:t xml:space="preserve">Operating Income</w:t>
            </w:r>
          </w:p>
        </w:tc>
        <w:tc>
          <w:tcPr>
            <w:tcW w:type="pct" w:w="12%"/>
            <w:shd w:fill="FFFFFF" w:val="clear"/>
            <w:tcMar>
              <w:top w:type="dxa" w:w="60"/>
              <w:left w:type="dxa" w:w="120"/>
              <w:bottom w:type="dxa" w:w="60"/>
              <w:right w:type="dxa" w:w="120"/>
            </w:tcMar>
          </w:tcPr>
          <w:p>
            <w:r>
              <w:rPr>
                <w:sz w:val="21"/>
                <w:szCs w:val="21"/>
              </w:rPr>
              <w:t xml:space="preserve">(3,564)</w:t>
            </w:r>
          </w:p>
        </w:tc>
        <w:tc>
          <w:tcPr>
            <w:tcW w:type="pct" w:w="14%"/>
            <w:shd w:fill="FFFFFF" w:val="clear"/>
            <w:tcMar>
              <w:top w:type="dxa" w:w="60"/>
              <w:left w:type="dxa" w:w="120"/>
              <w:bottom w:type="dxa" w:w="60"/>
              <w:right w:type="dxa" w:w="120"/>
            </w:tcMar>
          </w:tcPr>
          <w:p>
            <w:r>
              <w:rPr>
                <w:sz w:val="21"/>
                <w:szCs w:val="21"/>
              </w:rPr>
              <w:t xml:space="preserve">(5,334)</w:t>
            </w:r>
          </w:p>
        </w:tc>
        <w:tc>
          <w:tcPr>
            <w:tcW w:type="pct" w:w="16%"/>
            <w:shd w:fill="FFFFFF" w:val="clear"/>
            <w:tcMar>
              <w:top w:type="dxa" w:w="60"/>
              <w:left w:type="dxa" w:w="120"/>
              <w:bottom w:type="dxa" w:w="60"/>
              <w:right w:type="dxa" w:w="120"/>
            </w:tcMar>
          </w:tcPr>
          <w:p>
            <w:r>
              <w:rPr>
                <w:sz w:val="21"/>
                <w:szCs w:val="21"/>
              </w:rPr>
              <w:t xml:space="preserve">(3,960)</w:t>
            </w:r>
          </w:p>
        </w:tc>
        <w:tc>
          <w:tcPr>
            <w:tcW w:type="pct" w:w="16%"/>
            <w:shd w:fill="FFFFFF" w:val="clear"/>
            <w:tcMar>
              <w:top w:type="dxa" w:w="60"/>
              <w:left w:type="dxa" w:w="120"/>
              <w:bottom w:type="dxa" w:w="60"/>
              <w:right w:type="dxa" w:w="120"/>
            </w:tcMar>
          </w:tcPr>
          <w:p>
            <w:r>
              <w:rPr>
                <w:sz w:val="21"/>
                <w:szCs w:val="21"/>
              </w:rPr>
              <w:t xml:space="preserve">760</w:t>
            </w:r>
          </w:p>
        </w:tc>
        <w:tc>
          <w:tcPr>
            <w:tcW w:type="pct" w:w="14%"/>
            <w:shd w:fill="FFFFFF" w:val="clear"/>
            <w:tcMar>
              <w:top w:type="dxa" w:w="60"/>
              <w:left w:type="dxa" w:w="120"/>
              <w:bottom w:type="dxa" w:w="60"/>
              <w:right w:type="dxa" w:w="120"/>
            </w:tcMar>
          </w:tcPr>
          <w:p>
            <w:r>
              <w:rPr>
                <w:sz w:val="21"/>
                <w:szCs w:val="21"/>
              </w:rPr>
              <w:t xml:space="preserve">11,300</w:t>
            </w:r>
          </w:p>
        </w:tc>
      </w:tr>
      <w:tr>
        <w:trPr>
          <w:cantSplit/>
        </w:trPr>
        <w:tc>
          <w:tcPr>
            <w:tcW w:type="pct" w:w="28%"/>
            <w:shd w:fill="F8F0EB" w:val="clear"/>
            <w:tcMar>
              <w:top w:type="dxa" w:w="60"/>
              <w:left w:type="dxa" w:w="120"/>
              <w:bottom w:type="dxa" w:w="60"/>
              <w:right w:type="dxa" w:w="120"/>
            </w:tcMar>
          </w:tcPr>
          <w:p>
            <w:r>
              <w:rPr>
                <w:sz w:val="21"/>
                <w:szCs w:val="21"/>
              </w:rPr>
              <w:t xml:space="preserve">Interest/Other</w:t>
            </w:r>
          </w:p>
        </w:tc>
        <w:tc>
          <w:tcPr>
            <w:tcW w:type="pct" w:w="12%"/>
            <w:shd w:fill="F8F0EB" w:val="clear"/>
            <w:tcMar>
              <w:top w:type="dxa" w:w="60"/>
              <w:left w:type="dxa" w:w="120"/>
              <w:bottom w:type="dxa" w:w="60"/>
              <w:right w:type="dxa" w:w="120"/>
            </w:tcMar>
          </w:tcPr>
          <w:p>
            <w:r>
              <w:rPr>
                <w:sz w:val="21"/>
                <w:szCs w:val="21"/>
              </w:rPr>
              <w:t xml:space="preserve">264</w:t>
            </w:r>
          </w:p>
        </w:tc>
        <w:tc>
          <w:tcPr>
            <w:tcW w:type="pct" w:w="14%"/>
            <w:shd w:fill="F8F0EB" w:val="clear"/>
            <w:tcMar>
              <w:top w:type="dxa" w:w="60"/>
              <w:left w:type="dxa" w:w="120"/>
              <w:bottom w:type="dxa" w:w="60"/>
              <w:right w:type="dxa" w:w="120"/>
            </w:tcMar>
          </w:tcPr>
          <w:p>
            <w:r>
              <w:rPr>
                <w:sz w:val="21"/>
                <w:szCs w:val="21"/>
              </w:rPr>
              <w:t xml:space="preserve">334</w:t>
            </w:r>
          </w:p>
        </w:tc>
        <w:tc>
          <w:tcPr>
            <w:tcW w:type="pct" w:w="16%"/>
            <w:shd w:fill="F8F0EB" w:val="clear"/>
            <w:tcMar>
              <w:top w:type="dxa" w:w="60"/>
              <w:left w:type="dxa" w:w="120"/>
              <w:bottom w:type="dxa" w:w="60"/>
              <w:right w:type="dxa" w:w="120"/>
            </w:tcMar>
          </w:tcPr>
          <w:p>
            <w:r>
              <w:rPr>
                <w:sz w:val="21"/>
                <w:szCs w:val="21"/>
              </w:rPr>
              <w:t xml:space="preserve">960</w:t>
            </w:r>
          </w:p>
        </w:tc>
        <w:tc>
          <w:tcPr>
            <w:tcW w:type="pct" w:w="16%"/>
            <w:shd w:fill="F8F0EB" w:val="clear"/>
            <w:tcMar>
              <w:top w:type="dxa" w:w="60"/>
              <w:left w:type="dxa" w:w="120"/>
              <w:bottom w:type="dxa" w:w="60"/>
              <w:right w:type="dxa" w:w="120"/>
            </w:tcMar>
          </w:tcPr>
          <w:p>
            <w:r>
              <w:rPr>
                <w:sz w:val="21"/>
                <w:szCs w:val="21"/>
              </w:rPr>
              <w:t xml:space="preserve">(260)</w:t>
            </w:r>
          </w:p>
        </w:tc>
        <w:tc>
          <w:tcPr>
            <w:tcW w:type="pct" w:w="14%"/>
            <w:shd w:fill="F8F0EB" w:val="clear"/>
            <w:tcMar>
              <w:top w:type="dxa" w:w="60"/>
              <w:left w:type="dxa" w:w="120"/>
              <w:bottom w:type="dxa" w:w="60"/>
              <w:right w:type="dxa" w:w="120"/>
            </w:tcMar>
          </w:tcPr>
          <w:p>
            <w:r>
              <w:rPr>
                <w:sz w:val="21"/>
                <w:szCs w:val="21"/>
              </w:rPr>
              <w:t xml:space="preserve">3,700</w:t>
            </w:r>
          </w:p>
        </w:tc>
      </w:tr>
      <w:tr>
        <w:trPr>
          <w:cantSplit/>
        </w:trPr>
        <w:tc>
          <w:tcPr>
            <w:tcW w:type="pct" w:w="28%"/>
            <w:shd w:fill="FFFFFF" w:val="clear"/>
            <w:tcMar>
              <w:top w:type="dxa" w:w="60"/>
              <w:left w:type="dxa" w:w="120"/>
              <w:bottom w:type="dxa" w:w="60"/>
              <w:right w:type="dxa" w:w="120"/>
            </w:tcMar>
          </w:tcPr>
          <w:p>
            <w:r>
              <w:rPr>
                <w:sz w:val="21"/>
                <w:szCs w:val="21"/>
              </w:rPr>
              <w:t xml:space="preserve">Net Income</w:t>
            </w:r>
          </w:p>
        </w:tc>
        <w:tc>
          <w:tcPr>
            <w:tcW w:type="pct" w:w="12%"/>
            <w:shd w:fill="FFFFFF" w:val="clear"/>
            <w:tcMar>
              <w:top w:type="dxa" w:w="60"/>
              <w:left w:type="dxa" w:w="120"/>
              <w:bottom w:type="dxa" w:w="60"/>
              <w:right w:type="dxa" w:w="120"/>
            </w:tcMar>
          </w:tcPr>
          <w:p>
            <w:r>
              <w:rPr>
                <w:sz w:val="21"/>
                <w:szCs w:val="21"/>
              </w:rPr>
              <w:t xml:space="preserve">(3,300)</w:t>
            </w:r>
          </w:p>
        </w:tc>
        <w:tc>
          <w:tcPr>
            <w:tcW w:type="pct" w:w="14%"/>
            <w:shd w:fill="FFFFFF" w:val="clear"/>
            <w:tcMar>
              <w:top w:type="dxa" w:w="60"/>
              <w:left w:type="dxa" w:w="120"/>
              <w:bottom w:type="dxa" w:w="60"/>
              <w:right w:type="dxa" w:w="120"/>
            </w:tcMar>
          </w:tcPr>
          <w:p>
            <w:r>
              <w:rPr>
                <w:sz w:val="21"/>
                <w:szCs w:val="21"/>
              </w:rPr>
              <w:t xml:space="preserve">(5,000)</w:t>
            </w:r>
          </w:p>
        </w:tc>
        <w:tc>
          <w:tcPr>
            <w:tcW w:type="pct" w:w="16%"/>
            <w:shd w:fill="FFFFFF" w:val="clear"/>
            <w:tcMar>
              <w:top w:type="dxa" w:w="60"/>
              <w:left w:type="dxa" w:w="120"/>
              <w:bottom w:type="dxa" w:w="60"/>
              <w:right w:type="dxa" w:w="120"/>
            </w:tcMar>
          </w:tcPr>
          <w:p>
            <w:r>
              <w:rPr>
                <w:sz w:val="21"/>
                <w:szCs w:val="21"/>
              </w:rPr>
              <w:t xml:space="preserve">(3,000)</w:t>
            </w:r>
          </w:p>
        </w:tc>
        <w:tc>
          <w:tcPr>
            <w:tcW w:type="pct" w:w="16%"/>
            <w:shd w:fill="FFFFFF" w:val="clear"/>
            <w:tcMar>
              <w:top w:type="dxa" w:w="60"/>
              <w:left w:type="dxa" w:w="120"/>
              <w:bottom w:type="dxa" w:w="60"/>
              <w:right w:type="dxa" w:w="120"/>
            </w:tcMar>
          </w:tcPr>
          <w:p>
            <w:r>
              <w:rPr>
                <w:sz w:val="21"/>
                <w:szCs w:val="21"/>
              </w:rPr>
              <w:t xml:space="preserve">500</w:t>
            </w:r>
          </w:p>
        </w:tc>
        <w:tc>
          <w:tcPr>
            <w:tcW w:type="pct" w:w="14%"/>
            <w:shd w:fill="FFFFFF" w:val="clear"/>
            <w:tcMar>
              <w:top w:type="dxa" w:w="60"/>
              <w:left w:type="dxa" w:w="120"/>
              <w:bottom w:type="dxa" w:w="60"/>
              <w:right w:type="dxa" w:w="120"/>
            </w:tcMar>
          </w:tcPr>
          <w:p>
            <w:r>
              <w:rPr>
                <w:sz w:val="21"/>
                <w:szCs w:val="21"/>
              </w:rPr>
              <w:t xml:space="preserve">15,000</w:t>
            </w:r>
          </w:p>
        </w:tc>
      </w:tr>
    </w:tbl>
    <w:p>
      <w:pPr>
        <w:spacing w:after="200"/>
      </w:pPr>
    </w:p>
    <w:p>
      <w:pPr>
        <w:pStyle w:val="Heading2"/>
        <w:spacing w:after="160" w:before="300" w:line="312"/>
      </w:pPr>
      <w:bookmarkStart w:id="100116" w:name="_Toc100116"/>
      <w:r>
        <w:rPr>
          <w:rFonts w:ascii="Calibri" w:eastAsia="SimHei"/>
          <w:b/>
          <w:bCs/>
          <w:color w:val="1A2330"/>
          <w:sz w:val="28"/>
          <w:szCs w:val="28"/>
        </w:rPr>
        <w:t xml:space="preserve">10.2 Key Assumptions</w:t>
      </w:r>
      <w:bookmarkEnd w:id="100116"/>
    </w:p>
    <w:p>
      <w:pPr>
        <w:pStyle w:val="Heading3"/>
        <w:spacing w:after="120" w:before="240" w:line="312"/>
      </w:pPr>
      <w:bookmarkStart w:id="100117" w:name="_Toc100117"/>
      <w:r>
        <w:rPr>
          <w:rFonts w:ascii="Calibri" w:eastAsia="SimHei"/>
          <w:b/>
          <w:bCs/>
          <w:color w:val="1A2330"/>
          <w:sz w:val="24"/>
          <w:szCs w:val="24"/>
        </w:rPr>
        <w:t xml:space="preserve">Revenue Assumptions</w:t>
      </w:r>
      <w:bookmarkEnd w:id="100117"/>
    </w:p>
    <w:p>
      <w:pPr>
        <w:pStyle w:val="ListParagraph"/>
        <w:numPr>
          <w:ilvl w:val="0"/>
          <w:numId w:val="1"/>
        </w:numPr>
        <w:spacing w:after="80" w:line="312"/>
      </w:pPr>
      <w:r>
        <w:rPr>
          <w:rFonts w:ascii="Times New Roman" w:eastAsia="Microsoft YaHei"/>
          <w:color w:val="2C3E50"/>
          <w:sz w:val="24"/>
          <w:szCs w:val="24"/>
        </w:rPr>
        <w:t xml:space="preserve">Average contract value: Pro $588/year, Team $2,388/year, Enterprise $50,000+/year</w:t>
      </w:r>
    </w:p>
    <w:p>
      <w:pPr>
        <w:pStyle w:val="ListParagraph"/>
        <w:numPr>
          <w:ilvl w:val="0"/>
          <w:numId w:val="1"/>
        </w:numPr>
        <w:spacing w:after="80" w:line="312"/>
      </w:pPr>
      <w:r>
        <w:rPr>
          <w:rFonts w:ascii="Times New Roman" w:eastAsia="Microsoft YaHei"/>
          <w:color w:val="2C3E50"/>
          <w:sz w:val="24"/>
          <w:szCs w:val="24"/>
        </w:rPr>
        <w:t xml:space="preserve">Customer growth: 450 (Y1) -&gt; 1,200 (Y2) -&gt; 4,200 (Y3) -&gt; 9,000 (Y4) -&gt; 18,500 (Y5)</w:t>
      </w:r>
    </w:p>
    <w:p>
      <w:pPr>
        <w:pStyle w:val="ListParagraph"/>
        <w:numPr>
          <w:ilvl w:val="0"/>
          <w:numId w:val="1"/>
        </w:numPr>
        <w:spacing w:after="80" w:line="312"/>
      </w:pPr>
      <w:r>
        <w:rPr>
          <w:rFonts w:ascii="Times New Roman" w:eastAsia="Microsoft YaHei"/>
          <w:color w:val="2C3E50"/>
          <w:sz w:val="24"/>
          <w:szCs w:val="24"/>
        </w:rPr>
        <w:t xml:space="preserve">Churn rate: 5% (Enterprise), 8% (Team), 12% (Pro), improving over time</w:t>
      </w:r>
    </w:p>
    <w:p>
      <w:pPr>
        <w:pStyle w:val="ListParagraph"/>
        <w:numPr>
          <w:ilvl w:val="0"/>
          <w:numId w:val="1"/>
        </w:numPr>
        <w:spacing w:after="80" w:line="312"/>
      </w:pPr>
      <w:r>
        <w:rPr>
          <w:rFonts w:ascii="Times New Roman" w:eastAsia="Microsoft YaHei"/>
          <w:color w:val="2C3E50"/>
          <w:sz w:val="24"/>
          <w:szCs w:val="24"/>
        </w:rPr>
        <w:t xml:space="preserve">Net revenue retention: 115%+ driven by upsells and expansion</w:t>
      </w:r>
    </w:p>
    <w:p>
      <w:pPr>
        <w:pStyle w:val="Heading3"/>
        <w:spacing w:after="120" w:before="240" w:line="312"/>
      </w:pPr>
      <w:bookmarkStart w:id="100118" w:name="_Toc100118"/>
      <w:r>
        <w:rPr>
          <w:rFonts w:ascii="Calibri" w:eastAsia="SimHei"/>
          <w:b/>
          <w:bCs/>
          <w:color w:val="1A2330"/>
          <w:sz w:val="24"/>
          <w:szCs w:val="24"/>
        </w:rPr>
        <w:t xml:space="preserve">Cost Assumptions</w:t>
      </w:r>
      <w:bookmarkEnd w:id="100118"/>
    </w:p>
    <w:p>
      <w:pPr>
        <w:pStyle w:val="ListParagraph"/>
        <w:numPr>
          <w:ilvl w:val="0"/>
          <w:numId w:val="1"/>
        </w:numPr>
        <w:spacing w:after="80" w:line="312"/>
      </w:pPr>
      <w:r>
        <w:rPr>
          <w:rFonts w:ascii="Times New Roman" w:eastAsia="Microsoft YaHei"/>
          <w:color w:val="2C3E50"/>
          <w:sz w:val="24"/>
          <w:szCs w:val="24"/>
        </w:rPr>
        <w:t xml:space="preserve">Gross margin: 78% at scale (compute pass-through at cost)</w:t>
      </w:r>
    </w:p>
    <w:p>
      <w:pPr>
        <w:pStyle w:val="ListParagraph"/>
        <w:numPr>
          <w:ilvl w:val="0"/>
          <w:numId w:val="1"/>
        </w:numPr>
        <w:spacing w:after="80" w:line="312"/>
      </w:pPr>
      <w:r>
        <w:rPr>
          <w:rFonts w:ascii="Times New Roman" w:eastAsia="Microsoft YaHei"/>
          <w:color w:val="2C3E50"/>
          <w:sz w:val="24"/>
          <w:szCs w:val="24"/>
        </w:rPr>
        <w:t xml:space="preserve">Sales efficiency: CAC payback &lt;18 months for all segments</w:t>
      </w:r>
    </w:p>
    <w:p>
      <w:pPr>
        <w:pStyle w:val="ListParagraph"/>
        <w:numPr>
          <w:ilvl w:val="0"/>
          <w:numId w:val="1"/>
        </w:numPr>
        <w:spacing w:after="80" w:line="312"/>
      </w:pPr>
      <w:r>
        <w:rPr>
          <w:rFonts w:ascii="Times New Roman" w:eastAsia="Microsoft YaHei"/>
          <w:color w:val="2C3E50"/>
          <w:sz w:val="24"/>
          <w:szCs w:val="24"/>
        </w:rPr>
        <w:t xml:space="preserve">R&amp;D investment: 25-30% of revenue (innovation priority)</w:t>
      </w:r>
    </w:p>
    <w:p>
      <w:pPr>
        <w:pStyle w:val="ListParagraph"/>
        <w:numPr>
          <w:ilvl w:val="0"/>
          <w:numId w:val="1"/>
        </w:numPr>
        <w:spacing w:after="80" w:line="312"/>
      </w:pPr>
      <w:r>
        <w:rPr>
          <w:rFonts w:ascii="Times New Roman" w:eastAsia="Microsoft YaHei"/>
          <w:color w:val="2C3E50"/>
          <w:sz w:val="24"/>
          <w:szCs w:val="24"/>
        </w:rPr>
        <w:t xml:space="preserve">G&amp;A efficiency: leverage operating scale as company grows</w:t>
      </w:r>
    </w:p>
    <w:p>
      <w:pPr>
        <w:pStyle w:val="Heading2"/>
        <w:spacing w:after="160" w:before="300" w:line="312"/>
      </w:pPr>
      <w:bookmarkStart w:id="100119" w:name="_Toc100119"/>
      <w:r>
        <w:rPr>
          <w:rFonts w:ascii="Calibri" w:eastAsia="SimHei"/>
          <w:b/>
          <w:bCs/>
          <w:color w:val="1A2330"/>
          <w:sz w:val="28"/>
          <w:szCs w:val="28"/>
        </w:rPr>
        <w:t xml:space="preserve">10.3 Funding Requirements</w:t>
      </w:r>
      <w:bookmarkEnd w:id="100119"/>
    </w:p>
    <w:p>
      <w:pPr>
        <w:pStyle w:val="Heading3"/>
        <w:spacing w:after="120" w:before="240" w:line="312"/>
      </w:pPr>
      <w:bookmarkStart w:id="100120" w:name="_Toc100120"/>
      <w:r>
        <w:rPr>
          <w:rFonts w:ascii="Calibri" w:eastAsia="SimHei"/>
          <w:b/>
          <w:bCs/>
          <w:color w:val="1A2330"/>
          <w:sz w:val="24"/>
          <w:szCs w:val="24"/>
        </w:rPr>
        <w:t xml:space="preserve">Seed Round: $5M (Current Round)</w:t>
      </w:r>
      <w:bookmarkEnd w:id="100120"/>
    </w:p>
    <w:p>
      <w:pPr>
        <w:spacing w:after="120" w:line="312"/>
        <w:ind w:firstLine="480"/>
        <w:jc w:val="both"/>
      </w:pPr>
      <w:r>
        <w:rPr>
          <w:rFonts w:ascii="Times New Roman" w:eastAsia="Microsoft YaHei"/>
          <w:color w:val="2C3E50"/>
          <w:sz w:val="24"/>
          <w:szCs w:val="24"/>
        </w:rPr>
        <w:t xml:space="preserve">Use of funds: 50% Product Development, 25% Go-to-Market, 15% Operations, 10% Reserve. Runway: 18 months to Series A milestone.</w:t>
      </w:r>
    </w:p>
    <w:p>
      <w:pPr>
        <w:pStyle w:val="Heading3"/>
        <w:spacing w:after="120" w:before="240" w:line="312"/>
      </w:pPr>
      <w:bookmarkStart w:id="100121" w:name="_Toc100121"/>
      <w:r>
        <w:rPr>
          <w:rFonts w:ascii="Calibri" w:eastAsia="SimHei"/>
          <w:b/>
          <w:bCs/>
          <w:color w:val="1A2330"/>
          <w:sz w:val="24"/>
          <w:szCs w:val="24"/>
        </w:rPr>
        <w:t xml:space="preserve">Series A: $15-25M (Months 18-24)</w:t>
      </w:r>
      <w:bookmarkEnd w:id="100121"/>
    </w:p>
    <w:p>
      <w:pPr>
        <w:spacing w:after="120" w:line="312"/>
        <w:ind w:firstLine="480"/>
        <w:jc w:val="both"/>
      </w:pPr>
      <w:r>
        <w:rPr>
          <w:rFonts w:ascii="Times New Roman" w:eastAsia="Microsoft YaHei"/>
          <w:color w:val="2C3E50"/>
          <w:sz w:val="24"/>
          <w:szCs w:val="24"/>
        </w:rPr>
        <w:t xml:space="preserve">Use of funds: 40% Sales &amp; Marketing Scale, 30% Product Expansion, 20% International, 10% G&amp;A. Runway: 24 months to profitability indicators.</w:t>
      </w:r>
    </w:p>
    <w:p>
      <w:pPr>
        <w:pStyle w:val="Heading3"/>
        <w:spacing w:after="120" w:before="240" w:line="312"/>
      </w:pPr>
      <w:bookmarkStart w:id="100122" w:name="_Toc100122"/>
      <w:r>
        <w:rPr>
          <w:rFonts w:ascii="Calibri" w:eastAsia="SimHei"/>
          <w:b/>
          <w:bCs/>
          <w:color w:val="1A2330"/>
          <w:sz w:val="24"/>
          <w:szCs w:val="24"/>
        </w:rPr>
        <w:t xml:space="preserve">Series B: $50-80M (Year 4)</w:t>
      </w:r>
      <w:bookmarkEnd w:id="100122"/>
    </w:p>
    <w:p>
      <w:pPr>
        <w:spacing w:after="120" w:line="312"/>
        <w:ind w:firstLine="480"/>
        <w:jc w:val="both"/>
      </w:pPr>
      <w:r>
        <w:rPr>
          <w:rFonts w:ascii="Times New Roman" w:eastAsia="Microsoft YaHei"/>
          <w:color w:val="2C3E50"/>
          <w:sz w:val="24"/>
          <w:szCs w:val="24"/>
        </w:rPr>
        <w:t xml:space="preserve">Use of funds: 35% Strategic Acquisitions, 30% Global Expansion, 20% Platform Investment, 15% Working Capital. Runway: Path to IPO or strategic exit.</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8%"/>
            <w:shd w:fill="D4875A" w:val="clear"/>
            <w:tcMar>
              <w:top w:type="dxa" w:w="60"/>
              <w:left w:type="dxa" w:w="120"/>
              <w:bottom w:type="dxa" w:w="60"/>
              <w:right w:type="dxa" w:w="120"/>
            </w:tcMar>
          </w:tcPr>
          <w:p>
            <w:r>
              <w:rPr>
                <w:b/>
                <w:bCs/>
                <w:color w:val="FFFFFF"/>
                <w:sz w:val="21"/>
                <w:szCs w:val="21"/>
              </w:rPr>
              <w:t xml:space="preserve">Use of Funds</w:t>
            </w:r>
          </w:p>
        </w:tc>
        <w:tc>
          <w:tcPr>
            <w:tcW w:type="pct" w:w="24%"/>
            <w:shd w:fill="D4875A" w:val="clear"/>
            <w:tcMar>
              <w:top w:type="dxa" w:w="60"/>
              <w:left w:type="dxa" w:w="120"/>
              <w:bottom w:type="dxa" w:w="60"/>
              <w:right w:type="dxa" w:w="120"/>
            </w:tcMar>
          </w:tcPr>
          <w:p>
            <w:r>
              <w:rPr>
                <w:b/>
                <w:bCs/>
                <w:color w:val="FFFFFF"/>
                <w:sz w:val="21"/>
                <w:szCs w:val="21"/>
              </w:rPr>
              <w:t xml:space="preserve">Seed ($5M)</w:t>
            </w:r>
          </w:p>
        </w:tc>
        <w:tc>
          <w:tcPr>
            <w:tcW w:type="pct" w:w="24%"/>
            <w:shd w:fill="D4875A" w:val="clear"/>
            <w:tcMar>
              <w:top w:type="dxa" w:w="60"/>
              <w:left w:type="dxa" w:w="120"/>
              <w:bottom w:type="dxa" w:w="60"/>
              <w:right w:type="dxa" w:w="120"/>
            </w:tcMar>
          </w:tcPr>
          <w:p>
            <w:r>
              <w:rPr>
                <w:b/>
                <w:bCs/>
                <w:color w:val="FFFFFF"/>
                <w:sz w:val="21"/>
                <w:szCs w:val="21"/>
              </w:rPr>
              <w:t xml:space="preserve">Series A ($20M)</w:t>
            </w:r>
          </w:p>
        </w:tc>
        <w:tc>
          <w:tcPr>
            <w:tcW w:type="pct" w:w="24%"/>
            <w:shd w:fill="D4875A" w:val="clear"/>
            <w:tcMar>
              <w:top w:type="dxa" w:w="60"/>
              <w:left w:type="dxa" w:w="120"/>
              <w:bottom w:type="dxa" w:w="60"/>
              <w:right w:type="dxa" w:w="120"/>
            </w:tcMar>
          </w:tcPr>
          <w:p>
            <w:r>
              <w:rPr>
                <w:b/>
                <w:bCs/>
                <w:color w:val="FFFFFF"/>
                <w:sz w:val="21"/>
                <w:szCs w:val="21"/>
              </w:rPr>
              <w:t xml:space="preserve">Series B ($65M)</w:t>
            </w:r>
          </w:p>
        </w:tc>
      </w:tr>
      <w:tr>
        <w:trPr>
          <w:cantSplit/>
        </w:trPr>
        <w:tc>
          <w:tcPr>
            <w:tcW w:type="pct" w:w="28%"/>
            <w:shd w:fill="F8F0EB" w:val="clear"/>
            <w:tcMar>
              <w:top w:type="dxa" w:w="60"/>
              <w:left w:type="dxa" w:w="120"/>
              <w:bottom w:type="dxa" w:w="60"/>
              <w:right w:type="dxa" w:w="120"/>
            </w:tcMar>
          </w:tcPr>
          <w:p>
            <w:r>
              <w:rPr>
                <w:sz w:val="21"/>
                <w:szCs w:val="21"/>
              </w:rPr>
              <w:t xml:space="preserve">Product Development</w:t>
            </w:r>
          </w:p>
        </w:tc>
        <w:tc>
          <w:tcPr>
            <w:tcW w:type="pct" w:w="24%"/>
            <w:shd w:fill="F8F0EB" w:val="clear"/>
            <w:tcMar>
              <w:top w:type="dxa" w:w="60"/>
              <w:left w:type="dxa" w:w="120"/>
              <w:bottom w:type="dxa" w:w="60"/>
              <w:right w:type="dxa" w:w="120"/>
            </w:tcMar>
          </w:tcPr>
          <w:p>
            <w:r>
              <w:rPr>
                <w:sz w:val="21"/>
                <w:szCs w:val="21"/>
              </w:rPr>
              <w:t xml:space="preserve">$2.5M (50%)</w:t>
            </w:r>
          </w:p>
        </w:tc>
        <w:tc>
          <w:tcPr>
            <w:tcW w:type="pct" w:w="24%"/>
            <w:shd w:fill="F8F0EB" w:val="clear"/>
            <w:tcMar>
              <w:top w:type="dxa" w:w="60"/>
              <w:left w:type="dxa" w:w="120"/>
              <w:bottom w:type="dxa" w:w="60"/>
              <w:right w:type="dxa" w:w="120"/>
            </w:tcMar>
          </w:tcPr>
          <w:p>
            <w:r>
              <w:rPr>
                <w:sz w:val="21"/>
                <w:szCs w:val="21"/>
              </w:rPr>
              <w:t xml:space="preserve">$6M (30%)</w:t>
            </w:r>
          </w:p>
        </w:tc>
        <w:tc>
          <w:tcPr>
            <w:tcW w:type="pct" w:w="24%"/>
            <w:shd w:fill="F8F0EB" w:val="clear"/>
            <w:tcMar>
              <w:top w:type="dxa" w:w="60"/>
              <w:left w:type="dxa" w:w="120"/>
              <w:bottom w:type="dxa" w:w="60"/>
              <w:right w:type="dxa" w:w="120"/>
            </w:tcMar>
          </w:tcPr>
          <w:p>
            <w:r>
              <w:rPr>
                <w:sz w:val="21"/>
                <w:szCs w:val="21"/>
              </w:rPr>
              <w:t xml:space="preserve">$13M (20%)</w:t>
            </w:r>
          </w:p>
        </w:tc>
      </w:tr>
      <w:tr>
        <w:trPr>
          <w:cantSplit/>
        </w:trPr>
        <w:tc>
          <w:tcPr>
            <w:tcW w:type="pct" w:w="28%"/>
            <w:shd w:fill="FFFFFF" w:val="clear"/>
            <w:tcMar>
              <w:top w:type="dxa" w:w="60"/>
              <w:left w:type="dxa" w:w="120"/>
              <w:bottom w:type="dxa" w:w="60"/>
              <w:right w:type="dxa" w:w="120"/>
            </w:tcMar>
          </w:tcPr>
          <w:p>
            <w:r>
              <w:rPr>
                <w:sz w:val="21"/>
                <w:szCs w:val="21"/>
              </w:rPr>
              <w:t xml:space="preserve">Sales &amp; Marketing</w:t>
            </w:r>
          </w:p>
        </w:tc>
        <w:tc>
          <w:tcPr>
            <w:tcW w:type="pct" w:w="24%"/>
            <w:shd w:fill="FFFFFF" w:val="clear"/>
            <w:tcMar>
              <w:top w:type="dxa" w:w="60"/>
              <w:left w:type="dxa" w:w="120"/>
              <w:bottom w:type="dxa" w:w="60"/>
              <w:right w:type="dxa" w:w="120"/>
            </w:tcMar>
          </w:tcPr>
          <w:p>
            <w:r>
              <w:rPr>
                <w:sz w:val="21"/>
                <w:szCs w:val="21"/>
              </w:rPr>
              <w:t xml:space="preserve">$1.25M (25%)</w:t>
            </w:r>
          </w:p>
        </w:tc>
        <w:tc>
          <w:tcPr>
            <w:tcW w:type="pct" w:w="24%"/>
            <w:shd w:fill="FFFFFF" w:val="clear"/>
            <w:tcMar>
              <w:top w:type="dxa" w:w="60"/>
              <w:left w:type="dxa" w:w="120"/>
              <w:bottom w:type="dxa" w:w="60"/>
              <w:right w:type="dxa" w:w="120"/>
            </w:tcMar>
          </w:tcPr>
          <w:p>
            <w:r>
              <w:rPr>
                <w:sz w:val="21"/>
                <w:szCs w:val="21"/>
              </w:rPr>
              <w:t xml:space="preserve">$8M (40%)</w:t>
            </w:r>
          </w:p>
        </w:tc>
        <w:tc>
          <w:tcPr>
            <w:tcW w:type="pct" w:w="24%"/>
            <w:shd w:fill="FFFFFF" w:val="clear"/>
            <w:tcMar>
              <w:top w:type="dxa" w:w="60"/>
              <w:left w:type="dxa" w:w="120"/>
              <w:bottom w:type="dxa" w:w="60"/>
              <w:right w:type="dxa" w:w="120"/>
            </w:tcMar>
          </w:tcPr>
          <w:p>
            <w:r>
              <w:rPr>
                <w:sz w:val="21"/>
                <w:szCs w:val="21"/>
              </w:rPr>
              <w:t xml:space="preserve">$13M (20%)</w:t>
            </w:r>
          </w:p>
        </w:tc>
      </w:tr>
      <w:tr>
        <w:trPr>
          <w:cantSplit/>
        </w:trPr>
        <w:tc>
          <w:tcPr>
            <w:tcW w:type="pct" w:w="28%"/>
            <w:shd w:fill="F8F0EB" w:val="clear"/>
            <w:tcMar>
              <w:top w:type="dxa" w:w="60"/>
              <w:left w:type="dxa" w:w="120"/>
              <w:bottom w:type="dxa" w:w="60"/>
              <w:right w:type="dxa" w:w="120"/>
            </w:tcMar>
          </w:tcPr>
          <w:p>
            <w:r>
              <w:rPr>
                <w:sz w:val="21"/>
                <w:szCs w:val="21"/>
              </w:rPr>
              <w:t xml:space="preserve">Operations/G&amp;A</w:t>
            </w:r>
          </w:p>
        </w:tc>
        <w:tc>
          <w:tcPr>
            <w:tcW w:type="pct" w:w="24%"/>
            <w:shd w:fill="F8F0EB" w:val="clear"/>
            <w:tcMar>
              <w:top w:type="dxa" w:w="60"/>
              <w:left w:type="dxa" w:w="120"/>
              <w:bottom w:type="dxa" w:w="60"/>
              <w:right w:type="dxa" w:w="120"/>
            </w:tcMar>
          </w:tcPr>
          <w:p>
            <w:r>
              <w:rPr>
                <w:sz w:val="21"/>
                <w:szCs w:val="21"/>
              </w:rPr>
              <w:t xml:space="preserve">$0.75M (15%)</w:t>
            </w:r>
          </w:p>
        </w:tc>
        <w:tc>
          <w:tcPr>
            <w:tcW w:type="pct" w:w="24%"/>
            <w:shd w:fill="F8F0EB" w:val="clear"/>
            <w:tcMar>
              <w:top w:type="dxa" w:w="60"/>
              <w:left w:type="dxa" w:w="120"/>
              <w:bottom w:type="dxa" w:w="60"/>
              <w:right w:type="dxa" w:w="120"/>
            </w:tcMar>
          </w:tcPr>
          <w:p>
            <w:r>
              <w:rPr>
                <w:sz w:val="21"/>
                <w:szCs w:val="21"/>
              </w:rPr>
              <w:t xml:space="preserve">$2M (10%)</w:t>
            </w:r>
          </w:p>
        </w:tc>
        <w:tc>
          <w:tcPr>
            <w:tcW w:type="pct" w:w="24%"/>
            <w:shd w:fill="F8F0EB" w:val="clear"/>
            <w:tcMar>
              <w:top w:type="dxa" w:w="60"/>
              <w:left w:type="dxa" w:w="120"/>
              <w:bottom w:type="dxa" w:w="60"/>
              <w:right w:type="dxa" w:w="120"/>
            </w:tcMar>
          </w:tcPr>
          <w:p>
            <w:r>
              <w:rPr>
                <w:sz w:val="21"/>
                <w:szCs w:val="21"/>
              </w:rPr>
              <w:t xml:space="preserve">$10M (15%)</w:t>
            </w:r>
          </w:p>
        </w:tc>
      </w:tr>
      <w:tr>
        <w:trPr>
          <w:cantSplit/>
        </w:trPr>
        <w:tc>
          <w:tcPr>
            <w:tcW w:type="pct" w:w="28%"/>
            <w:shd w:fill="FFFFFF" w:val="clear"/>
            <w:tcMar>
              <w:top w:type="dxa" w:w="60"/>
              <w:left w:type="dxa" w:w="120"/>
              <w:bottom w:type="dxa" w:w="60"/>
              <w:right w:type="dxa" w:w="120"/>
            </w:tcMar>
          </w:tcPr>
          <w:p>
            <w:r>
              <w:rPr>
                <w:sz w:val="21"/>
                <w:szCs w:val="21"/>
              </w:rPr>
              <w:t xml:space="preserve">Reserve/Cushion</w:t>
            </w:r>
          </w:p>
        </w:tc>
        <w:tc>
          <w:tcPr>
            <w:tcW w:type="pct" w:w="24%"/>
            <w:shd w:fill="FFFFFF" w:val="clear"/>
            <w:tcMar>
              <w:top w:type="dxa" w:w="60"/>
              <w:left w:type="dxa" w:w="120"/>
              <w:bottom w:type="dxa" w:w="60"/>
              <w:right w:type="dxa" w:w="120"/>
            </w:tcMar>
          </w:tcPr>
          <w:p>
            <w:r>
              <w:rPr>
                <w:sz w:val="21"/>
                <w:szCs w:val="21"/>
              </w:rPr>
              <w:t xml:space="preserve">$0.5M (10%)</w:t>
            </w:r>
          </w:p>
        </w:tc>
        <w:tc>
          <w:tcPr>
            <w:tcW w:type="pct" w:w="24%"/>
            <w:shd w:fill="FFFFFF" w:val="clear"/>
            <w:tcMar>
              <w:top w:type="dxa" w:w="60"/>
              <w:left w:type="dxa" w:w="120"/>
              <w:bottom w:type="dxa" w:w="60"/>
              <w:right w:type="dxa" w:w="120"/>
            </w:tcMar>
          </w:tcPr>
          <w:p>
            <w:r>
              <w:rPr>
                <w:sz w:val="21"/>
                <w:szCs w:val="21"/>
              </w:rPr>
              <w:t xml:space="preserve">$2M (10%)</w:t>
            </w:r>
          </w:p>
        </w:tc>
        <w:tc>
          <w:tcPr>
            <w:tcW w:type="pct" w:w="24%"/>
            <w:shd w:fill="FFFFFF" w:val="clear"/>
            <w:tcMar>
              <w:top w:type="dxa" w:w="60"/>
              <w:left w:type="dxa" w:w="120"/>
              <w:bottom w:type="dxa" w:w="60"/>
              <w:right w:type="dxa" w:w="120"/>
            </w:tcMar>
          </w:tcPr>
          <w:p>
            <w:r>
              <w:rPr>
                <w:sz w:val="21"/>
                <w:szCs w:val="21"/>
              </w:rPr>
              <w:t xml:space="preserve">$6.5M (10%)</w:t>
            </w:r>
          </w:p>
        </w:tc>
      </w:tr>
      <w:tr>
        <w:trPr>
          <w:cantSplit/>
        </w:trPr>
        <w:tc>
          <w:tcPr>
            <w:tcW w:type="pct" w:w="28%"/>
            <w:shd w:fill="F8F0EB" w:val="clear"/>
            <w:tcMar>
              <w:top w:type="dxa" w:w="60"/>
              <w:left w:type="dxa" w:w="120"/>
              <w:bottom w:type="dxa" w:w="60"/>
              <w:right w:type="dxa" w:w="120"/>
            </w:tcMar>
          </w:tcPr>
          <w:p>
            <w:r>
              <w:rPr>
                <w:sz w:val="21"/>
                <w:szCs w:val="21"/>
              </w:rPr>
              <w:t xml:space="preserve">International</w:t>
            </w:r>
          </w:p>
        </w:tc>
        <w:tc>
          <w:tcPr>
            <w:tcW w:type="pct" w:w="24%"/>
            <w:shd w:fill="F8F0EB" w:val="clear"/>
            <w:tcMar>
              <w:top w:type="dxa" w:w="60"/>
              <w:left w:type="dxa" w:w="120"/>
              <w:bottom w:type="dxa" w:w="60"/>
              <w:right w:type="dxa" w:w="120"/>
            </w:tcMar>
          </w:tcPr>
          <w:p>
            <w:r>
              <w:rPr>
                <w:sz w:val="21"/>
                <w:szCs w:val="21"/>
              </w:rPr>
              <w:t xml:space="preserve">-</w:t>
            </w:r>
          </w:p>
        </w:tc>
        <w:tc>
          <w:tcPr>
            <w:tcW w:type="pct" w:w="24%"/>
            <w:shd w:fill="F8F0EB" w:val="clear"/>
            <w:tcMar>
              <w:top w:type="dxa" w:w="60"/>
              <w:left w:type="dxa" w:w="120"/>
              <w:bottom w:type="dxa" w:w="60"/>
              <w:right w:type="dxa" w:w="120"/>
            </w:tcMar>
          </w:tcPr>
          <w:p>
            <w:r>
              <w:rPr>
                <w:sz w:val="21"/>
                <w:szCs w:val="21"/>
              </w:rPr>
              <w:t xml:space="preserve">$2M (10%)</w:t>
            </w:r>
          </w:p>
        </w:tc>
        <w:tc>
          <w:tcPr>
            <w:tcW w:type="pct" w:w="24%"/>
            <w:shd w:fill="F8F0EB" w:val="clear"/>
            <w:tcMar>
              <w:top w:type="dxa" w:w="60"/>
              <w:left w:type="dxa" w:w="120"/>
              <w:bottom w:type="dxa" w:w="60"/>
              <w:right w:type="dxa" w:w="120"/>
            </w:tcMar>
          </w:tcPr>
          <w:p>
            <w:r>
              <w:rPr>
                <w:sz w:val="21"/>
                <w:szCs w:val="21"/>
              </w:rPr>
              <w:t xml:space="preserve">$13M (20%)</w:t>
            </w:r>
          </w:p>
        </w:tc>
      </w:tr>
      <w:tr>
        <w:trPr>
          <w:cantSplit/>
        </w:trPr>
        <w:tc>
          <w:tcPr>
            <w:tcW w:type="pct" w:w="28%"/>
            <w:shd w:fill="FFFFFF" w:val="clear"/>
            <w:tcMar>
              <w:top w:type="dxa" w:w="60"/>
              <w:left w:type="dxa" w:w="120"/>
              <w:bottom w:type="dxa" w:w="60"/>
              <w:right w:type="dxa" w:w="120"/>
            </w:tcMar>
          </w:tcPr>
          <w:p>
            <w:r>
              <w:rPr>
                <w:sz w:val="21"/>
                <w:szCs w:val="21"/>
              </w:rPr>
              <w:t xml:space="preserve">Acquisitions</w:t>
            </w:r>
          </w:p>
        </w:tc>
        <w:tc>
          <w:tcPr>
            <w:tcW w:type="pct" w:w="24%"/>
            <w:shd w:fill="FFFFFF" w:val="clear"/>
            <w:tcMar>
              <w:top w:type="dxa" w:w="60"/>
              <w:left w:type="dxa" w:w="120"/>
              <w:bottom w:type="dxa" w:w="60"/>
              <w:right w:type="dxa" w:w="120"/>
            </w:tcMar>
          </w:tcPr>
          <w:p>
            <w:r>
              <w:rPr>
                <w:sz w:val="21"/>
                <w:szCs w:val="21"/>
              </w:rPr>
              <w:t xml:space="preserve">-</w:t>
            </w:r>
          </w:p>
        </w:tc>
        <w:tc>
          <w:tcPr>
            <w:tcW w:type="pct" w:w="24%"/>
            <w:shd w:fill="FFFFFF" w:val="clear"/>
            <w:tcMar>
              <w:top w:type="dxa" w:w="60"/>
              <w:left w:type="dxa" w:w="120"/>
              <w:bottom w:type="dxa" w:w="60"/>
              <w:right w:type="dxa" w:w="120"/>
            </w:tcMar>
          </w:tcPr>
          <w:p>
            <w:r>
              <w:rPr>
                <w:sz w:val="21"/>
                <w:szCs w:val="21"/>
              </w:rPr>
              <w:t xml:space="preserve">-</w:t>
            </w:r>
          </w:p>
        </w:tc>
        <w:tc>
          <w:tcPr>
            <w:tcW w:type="pct" w:w="24%"/>
            <w:shd w:fill="FFFFFF" w:val="clear"/>
            <w:tcMar>
              <w:top w:type="dxa" w:w="60"/>
              <w:left w:type="dxa" w:w="120"/>
              <w:bottom w:type="dxa" w:w="60"/>
              <w:right w:type="dxa" w:w="120"/>
            </w:tcMar>
          </w:tcPr>
          <w:p>
            <w:r>
              <w:rPr>
                <w:sz w:val="21"/>
                <w:szCs w:val="21"/>
              </w:rPr>
              <w:t xml:space="preserve">$22.5M (35%)</w:t>
            </w:r>
          </w:p>
        </w:tc>
      </w:tr>
    </w:tbl>
    <w:p>
      <w:pPr>
        <w:spacing w:after="200"/>
      </w:pPr>
    </w:p>
    <w:p>
      <w:pPr>
        <w:pStyle w:val="Heading2"/>
        <w:spacing w:after="160" w:before="300" w:line="312"/>
      </w:pPr>
      <w:bookmarkStart w:id="100123" w:name="_Toc100123"/>
      <w:r>
        <w:rPr>
          <w:rFonts w:ascii="Calibri" w:eastAsia="SimHei"/>
          <w:b/>
          <w:bCs/>
          <w:color w:val="1A2330"/>
          <w:sz w:val="28"/>
          <w:szCs w:val="28"/>
        </w:rPr>
        <w:t xml:space="preserve">10.4 Exit Strategy / ROI Potential</w:t>
      </w:r>
      <w:bookmarkEnd w:id="100123"/>
    </w:p>
    <w:p>
      <w:pPr>
        <w:spacing w:after="120" w:line="312"/>
        <w:ind w:firstLine="480"/>
        <w:jc w:val="both"/>
      </w:pPr>
      <w:r>
        <w:rPr>
          <w:rFonts w:ascii="Times New Roman" w:eastAsia="Microsoft YaHei"/>
          <w:color w:val="2C3E50"/>
          <w:sz w:val="24"/>
          <w:szCs w:val="24"/>
        </w:rPr>
        <w:t xml:space="preserve">Investment return scenarios based on comparable company valuations:</w:t>
      </w:r>
    </w:p>
    <w:p>
      <w:pPr>
        <w:pStyle w:val="ListParagraph"/>
        <w:numPr>
          <w:ilvl w:val="0"/>
          <w:numId w:val="1"/>
        </w:numPr>
        <w:spacing w:after="80" w:line="312"/>
      </w:pPr>
      <w:r>
        <w:rPr>
          <w:rFonts w:ascii="Times New Roman" w:eastAsia="Microsoft YaHei"/>
          <w:color w:val="2C3E50"/>
          <w:sz w:val="24"/>
          <w:szCs w:val="24"/>
        </w:rPr>
        <w:t xml:space="preserve">Conservative Case (3x return): Acquisition by legacy vendor or enterprise software company at $150-200M valuation</w:t>
      </w:r>
    </w:p>
    <w:p>
      <w:pPr>
        <w:pStyle w:val="ListParagraph"/>
        <w:numPr>
          <w:ilvl w:val="0"/>
          <w:numId w:val="1"/>
        </w:numPr>
        <w:spacing w:after="80" w:line="312"/>
      </w:pPr>
      <w:r>
        <w:rPr>
          <w:rFonts w:ascii="Times New Roman" w:eastAsia="Microsoft YaHei"/>
          <w:color w:val="2C3E50"/>
          <w:sz w:val="24"/>
          <w:szCs w:val="24"/>
        </w:rPr>
        <w:t xml:space="preserve">Base Case (8x return): IPO or strategic acquisition at $400-600M valuation upon achieving market leadership position</w:t>
      </w:r>
    </w:p>
    <w:p>
      <w:pPr>
        <w:pStyle w:val="ListParagraph"/>
        <w:numPr>
          <w:ilvl w:val="0"/>
          <w:numId w:val="1"/>
        </w:numPr>
        <w:spacing w:after="80" w:line="312"/>
      </w:pPr>
      <w:r>
        <w:rPr>
          <w:rFonts w:ascii="Times New Roman" w:eastAsia="Microsoft YaHei"/>
          <w:color w:val="2C3E50"/>
          <w:sz w:val="24"/>
          <w:szCs w:val="24"/>
        </w:rPr>
        <w:t xml:space="preserve">Upside Case (15x+ return): Category-defining platform commanding $1B+ valuation in expanded market opportunity</w:t>
      </w:r>
    </w:p>
    <w:p>
      <w:pPr>
        <w:spacing w:after="120" w:line="312"/>
        <w:ind w:firstLine="480"/>
        <w:jc w:val="both"/>
      </w:pPr>
      <w:r>
        <w:rPr>
          <w:rFonts w:ascii="Times New Roman" w:eastAsia="Microsoft YaHei"/>
          <w:color w:val="2C3E50"/>
          <w:sz w:val="24"/>
          <w:szCs w:val="24"/>
        </w:rPr>
        <w:t xml:space="preserve">Timeline: Likely exit window 5-7 years from seed, contingent on market conditions and execution.</w:t>
      </w:r>
    </w:p>
    <w:p>
      <w:pPr>
        <w:pStyle w:val="Heading1"/>
        <w:spacing w:after="200" w:before="400" w:line="312"/>
      </w:pPr>
      <w:bookmarkStart w:id="100124" w:name="_Toc100124"/>
      <w:r>
        <w:rPr>
          <w:rFonts w:ascii="Calibri" w:eastAsia="SimHei"/>
          <w:b/>
          <w:bCs/>
          <w:color w:val="1A2330"/>
          <w:sz w:val="32"/>
          <w:szCs w:val="32"/>
        </w:rPr>
        <w:t xml:space="preserve">11. Risk Analysis</w:t>
      </w:r>
      <w:bookmarkEnd w:id="100124"/>
    </w:p>
    <w:p>
      <w:pPr>
        <w:pStyle w:val="Heading2"/>
        <w:spacing w:after="160" w:before="300" w:line="312"/>
      </w:pPr>
      <w:bookmarkStart w:id="100125" w:name="_Toc100125"/>
      <w:r>
        <w:rPr>
          <w:rFonts w:ascii="Calibri" w:eastAsia="SimHei"/>
          <w:b/>
          <w:bCs/>
          <w:color w:val="1A2330"/>
          <w:sz w:val="28"/>
          <w:szCs w:val="28"/>
        </w:rPr>
        <w:t xml:space="preserve">11.1 Key Risks with Mitigation Strategies</w:t>
      </w:r>
      <w:bookmarkEnd w:id="100125"/>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8%"/>
            <w:shd w:fill="D4875A" w:val="clear"/>
            <w:tcMar>
              <w:top w:type="dxa" w:w="60"/>
              <w:left w:type="dxa" w:w="120"/>
              <w:bottom w:type="dxa" w:w="60"/>
              <w:right w:type="dxa" w:w="120"/>
            </w:tcMar>
          </w:tcPr>
          <w:p>
            <w:r>
              <w:rPr>
                <w:b/>
                <w:bCs/>
                <w:color w:val="FFFFFF"/>
                <w:sz w:val="21"/>
                <w:szCs w:val="21"/>
              </w:rPr>
              <w:t xml:space="preserve">Risk Category</w:t>
            </w:r>
          </w:p>
        </w:tc>
        <w:tc>
          <w:tcPr>
            <w:tcW w:type="pct" w:w="14%"/>
            <w:shd w:fill="D4875A" w:val="clear"/>
            <w:tcMar>
              <w:top w:type="dxa" w:w="60"/>
              <w:left w:type="dxa" w:w="120"/>
              <w:bottom w:type="dxa" w:w="60"/>
              <w:right w:type="dxa" w:w="120"/>
            </w:tcMar>
          </w:tcPr>
          <w:p>
            <w:r>
              <w:rPr>
                <w:b/>
                <w:bCs/>
                <w:color w:val="FFFFFF"/>
                <w:sz w:val="21"/>
                <w:szCs w:val="21"/>
              </w:rPr>
              <w:t xml:space="preserve">Probability</w:t>
            </w:r>
          </w:p>
        </w:tc>
        <w:tc>
          <w:tcPr>
            <w:tcW w:type="pct" w:w="14%"/>
            <w:shd w:fill="D4875A" w:val="clear"/>
            <w:tcMar>
              <w:top w:type="dxa" w:w="60"/>
              <w:left w:type="dxa" w:w="120"/>
              <w:bottom w:type="dxa" w:w="60"/>
              <w:right w:type="dxa" w:w="120"/>
            </w:tcMar>
          </w:tcPr>
          <w:p>
            <w:r>
              <w:rPr>
                <w:b/>
                <w:bCs/>
                <w:color w:val="FFFFFF"/>
                <w:sz w:val="21"/>
                <w:szCs w:val="21"/>
              </w:rPr>
              <w:t xml:space="preserve">Impact</w:t>
            </w:r>
          </w:p>
        </w:tc>
        <w:tc>
          <w:tcPr>
            <w:tcW w:type="pct" w:w="44%"/>
            <w:shd w:fill="D4875A" w:val="clear"/>
            <w:tcMar>
              <w:top w:type="dxa" w:w="60"/>
              <w:left w:type="dxa" w:w="120"/>
              <w:bottom w:type="dxa" w:w="60"/>
              <w:right w:type="dxa" w:w="120"/>
            </w:tcMar>
          </w:tcPr>
          <w:p>
            <w:r>
              <w:rPr>
                <w:b/>
                <w:bCs/>
                <w:color w:val="FFFFFF"/>
                <w:sz w:val="21"/>
                <w:szCs w:val="21"/>
              </w:rPr>
              <w:t xml:space="preserve">Mitigation Strategy</w:t>
            </w:r>
          </w:p>
        </w:tc>
      </w:tr>
      <w:tr>
        <w:trPr>
          <w:cantSplit/>
        </w:trPr>
        <w:tc>
          <w:tcPr>
            <w:tcW w:type="pct" w:w="28%"/>
            <w:shd w:fill="F8F0EB" w:val="clear"/>
            <w:tcMar>
              <w:top w:type="dxa" w:w="60"/>
              <w:left w:type="dxa" w:w="120"/>
              <w:bottom w:type="dxa" w:w="60"/>
              <w:right w:type="dxa" w:w="120"/>
            </w:tcMar>
          </w:tcPr>
          <w:p>
            <w:r>
              <w:rPr>
                <w:sz w:val="21"/>
                <w:szCs w:val="21"/>
              </w:rPr>
              <w:t xml:space="preserve">Competition from incumbents</w:t>
            </w:r>
          </w:p>
        </w:tc>
        <w:tc>
          <w:tcPr>
            <w:tcW w:type="pct" w:w="14%"/>
            <w:shd w:fill="F8F0EB" w:val="clear"/>
            <w:tcMar>
              <w:top w:type="dxa" w:w="60"/>
              <w:left w:type="dxa" w:w="120"/>
              <w:bottom w:type="dxa" w:w="60"/>
              <w:right w:type="dxa" w:w="120"/>
            </w:tcMar>
          </w:tcPr>
          <w:p>
            <w:r>
              <w:rPr>
                <w:sz w:val="21"/>
                <w:szCs w:val="21"/>
              </w:rPr>
              <w:t xml:space="preserve">High</w:t>
            </w:r>
          </w:p>
        </w:tc>
        <w:tc>
          <w:tcPr>
            <w:tcW w:type="pct" w:w="14%"/>
            <w:shd w:fill="F8F0EB" w:val="clear"/>
            <w:tcMar>
              <w:top w:type="dxa" w:w="60"/>
              <w:left w:type="dxa" w:w="120"/>
              <w:bottom w:type="dxa" w:w="60"/>
              <w:right w:type="dxa" w:w="120"/>
            </w:tcMar>
          </w:tcPr>
          <w:p>
            <w:r>
              <w:rPr>
                <w:sz w:val="21"/>
                <w:szCs w:val="21"/>
              </w:rPr>
              <w:t xml:space="preserve">Medium</w:t>
            </w:r>
          </w:p>
        </w:tc>
        <w:tc>
          <w:tcPr>
            <w:tcW w:type="pct" w:w="44%"/>
            <w:shd w:fill="F8F0EB" w:val="clear"/>
            <w:tcMar>
              <w:top w:type="dxa" w:w="60"/>
              <w:left w:type="dxa" w:w="120"/>
              <w:bottom w:type="dxa" w:w="60"/>
              <w:right w:type="dxa" w:w="120"/>
            </w:tcMar>
          </w:tcPr>
          <w:p>
            <w:r>
              <w:rPr>
                <w:sz w:val="21"/>
                <w:szCs w:val="21"/>
              </w:rPr>
              <w:t xml:space="preserve">Speed of innovation, UX differentiation, switching incentives</w:t>
            </w:r>
          </w:p>
        </w:tc>
      </w:tr>
      <w:tr>
        <w:trPr>
          <w:cantSplit/>
        </w:trPr>
        <w:tc>
          <w:tcPr>
            <w:tcW w:type="pct" w:w="28%"/>
            <w:shd w:fill="FFFFFF" w:val="clear"/>
            <w:tcMar>
              <w:top w:type="dxa" w:w="60"/>
              <w:left w:type="dxa" w:w="120"/>
              <w:bottom w:type="dxa" w:w="60"/>
              <w:right w:type="dxa" w:w="120"/>
            </w:tcMar>
          </w:tcPr>
          <w:p>
            <w:r>
              <w:rPr>
                <w:sz w:val="21"/>
                <w:szCs w:val="21"/>
              </w:rPr>
              <w:t xml:space="preserve">Slower enterprise adoption</w:t>
            </w:r>
          </w:p>
        </w:tc>
        <w:tc>
          <w:tcPr>
            <w:tcW w:type="pct" w:w="14%"/>
            <w:shd w:fill="FFFFFF" w:val="clear"/>
            <w:tcMar>
              <w:top w:type="dxa" w:w="60"/>
              <w:left w:type="dxa" w:w="120"/>
              <w:bottom w:type="dxa" w:w="60"/>
              <w:right w:type="dxa" w:w="120"/>
            </w:tcMar>
          </w:tcPr>
          <w:p>
            <w:r>
              <w:rPr>
                <w:sz w:val="21"/>
                <w:szCs w:val="21"/>
              </w:rPr>
              <w:t xml:space="preserve">Medium</w:t>
            </w:r>
          </w:p>
        </w:tc>
        <w:tc>
          <w:tcPr>
            <w:tcW w:type="pct" w:w="14%"/>
            <w:shd w:fill="FFFFFF" w:val="clear"/>
            <w:tcMar>
              <w:top w:type="dxa" w:w="60"/>
              <w:left w:type="dxa" w:w="120"/>
              <w:bottom w:type="dxa" w:w="60"/>
              <w:right w:type="dxa" w:w="120"/>
            </w:tcMar>
          </w:tcPr>
          <w:p>
            <w:r>
              <w:rPr>
                <w:sz w:val="21"/>
                <w:szCs w:val="21"/>
              </w:rPr>
              <w:t xml:space="preserve">High</w:t>
            </w:r>
          </w:p>
        </w:tc>
        <w:tc>
          <w:tcPr>
            <w:tcW w:type="pct" w:w="44%"/>
            <w:shd w:fill="FFFFFF" w:val="clear"/>
            <w:tcMar>
              <w:top w:type="dxa" w:w="60"/>
              <w:left w:type="dxa" w:w="120"/>
              <w:bottom w:type="dxa" w:w="60"/>
              <w:right w:type="dxa" w:w="120"/>
            </w:tcMar>
          </w:tcPr>
          <w:p>
            <w:r>
              <w:rPr>
                <w:sz w:val="21"/>
                <w:szCs w:val="21"/>
              </w:rPr>
              <w:t xml:space="preserve">Strong SMB/academic foundation, proof points, reference customers</w:t>
            </w:r>
          </w:p>
        </w:tc>
      </w:tr>
      <w:tr>
        <w:trPr>
          <w:cantSplit/>
        </w:trPr>
        <w:tc>
          <w:tcPr>
            <w:tcW w:type="pct" w:w="28%"/>
            <w:shd w:fill="F8F0EB" w:val="clear"/>
            <w:tcMar>
              <w:top w:type="dxa" w:w="60"/>
              <w:left w:type="dxa" w:w="120"/>
              <w:bottom w:type="dxa" w:w="60"/>
              <w:right w:type="dxa" w:w="120"/>
            </w:tcMar>
          </w:tcPr>
          <w:p>
            <w:r>
              <w:rPr>
                <w:sz w:val="21"/>
                <w:szCs w:val="21"/>
              </w:rPr>
              <w:t xml:space="preserve">Technical execution challenges</w:t>
            </w:r>
          </w:p>
        </w:tc>
        <w:tc>
          <w:tcPr>
            <w:tcW w:type="pct" w:w="14%"/>
            <w:shd w:fill="F8F0EB" w:val="clear"/>
            <w:tcMar>
              <w:top w:type="dxa" w:w="60"/>
              <w:left w:type="dxa" w:w="120"/>
              <w:bottom w:type="dxa" w:w="60"/>
              <w:right w:type="dxa" w:w="120"/>
            </w:tcMar>
          </w:tcPr>
          <w:p>
            <w:r>
              <w:rPr>
                <w:sz w:val="21"/>
                <w:szCs w:val="21"/>
              </w:rPr>
              <w:t xml:space="preserve">Medium</w:t>
            </w:r>
          </w:p>
        </w:tc>
        <w:tc>
          <w:tcPr>
            <w:tcW w:type="pct" w:w="14%"/>
            <w:shd w:fill="F8F0EB" w:val="clear"/>
            <w:tcMar>
              <w:top w:type="dxa" w:w="60"/>
              <w:left w:type="dxa" w:w="120"/>
              <w:bottom w:type="dxa" w:w="60"/>
              <w:right w:type="dxa" w:w="120"/>
            </w:tcMar>
          </w:tcPr>
          <w:p>
            <w:r>
              <w:rPr>
                <w:sz w:val="21"/>
                <w:szCs w:val="21"/>
              </w:rPr>
              <w:t xml:space="preserve">High</w:t>
            </w:r>
          </w:p>
        </w:tc>
        <w:tc>
          <w:tcPr>
            <w:tcW w:type="pct" w:w="44%"/>
            <w:shd w:fill="F8F0EB" w:val="clear"/>
            <w:tcMar>
              <w:top w:type="dxa" w:w="60"/>
              <w:left w:type="dxa" w:w="120"/>
              <w:bottom w:type="dxa" w:w="60"/>
              <w:right w:type="dxa" w:w="120"/>
            </w:tcMar>
          </w:tcPr>
          <w:p>
            <w:r>
              <w:rPr>
                <w:sz w:val="21"/>
                <w:szCs w:val="21"/>
              </w:rPr>
              <w:t xml:space="preserve">Experienced team, agile methodology, phased delivery</w:t>
            </w:r>
          </w:p>
        </w:tc>
      </w:tr>
      <w:tr>
        <w:trPr>
          <w:cantSplit/>
        </w:trPr>
        <w:tc>
          <w:tcPr>
            <w:tcW w:type="pct" w:w="28%"/>
            <w:shd w:fill="FFFFFF" w:val="clear"/>
            <w:tcMar>
              <w:top w:type="dxa" w:w="60"/>
              <w:left w:type="dxa" w:w="120"/>
              <w:bottom w:type="dxa" w:w="60"/>
              <w:right w:type="dxa" w:w="120"/>
            </w:tcMar>
          </w:tcPr>
          <w:p>
            <w:r>
              <w:rPr>
                <w:sz w:val="21"/>
                <w:szCs w:val="21"/>
              </w:rPr>
              <w:t xml:space="preserve">Capital market downturn</w:t>
            </w:r>
          </w:p>
        </w:tc>
        <w:tc>
          <w:tcPr>
            <w:tcW w:type="pct" w:w="14%"/>
            <w:shd w:fill="FFFFFF" w:val="clear"/>
            <w:tcMar>
              <w:top w:type="dxa" w:w="60"/>
              <w:left w:type="dxa" w:w="120"/>
              <w:bottom w:type="dxa" w:w="60"/>
              <w:right w:type="dxa" w:w="120"/>
            </w:tcMar>
          </w:tcPr>
          <w:p>
            <w:r>
              <w:rPr>
                <w:sz w:val="21"/>
                <w:szCs w:val="21"/>
              </w:rPr>
              <w:t xml:space="preserve">Low</w:t>
            </w:r>
          </w:p>
        </w:tc>
        <w:tc>
          <w:tcPr>
            <w:tcW w:type="pct" w:w="14%"/>
            <w:shd w:fill="FFFFFF" w:val="clear"/>
            <w:tcMar>
              <w:top w:type="dxa" w:w="60"/>
              <w:left w:type="dxa" w:w="120"/>
              <w:bottom w:type="dxa" w:w="60"/>
              <w:right w:type="dxa" w:w="120"/>
            </w:tcMar>
          </w:tcPr>
          <w:p>
            <w:r>
              <w:rPr>
                <w:sz w:val="21"/>
                <w:szCs w:val="21"/>
              </w:rPr>
              <w:t xml:space="preserve">High</w:t>
            </w:r>
          </w:p>
        </w:tc>
        <w:tc>
          <w:tcPr>
            <w:tcW w:type="pct" w:w="44%"/>
            <w:shd w:fill="FFFFFF" w:val="clear"/>
            <w:tcMar>
              <w:top w:type="dxa" w:w="60"/>
              <w:left w:type="dxa" w:w="120"/>
              <w:bottom w:type="dxa" w:w="60"/>
              <w:right w:type="dxa" w:w="120"/>
            </w:tcMar>
          </w:tcPr>
          <w:p>
            <w:r>
              <w:rPr>
                <w:sz w:val="21"/>
                <w:szCs w:val="21"/>
              </w:rPr>
              <w:t xml:space="preserve">Conservative runway, path to profitability focus</w:t>
            </w:r>
          </w:p>
        </w:tc>
      </w:tr>
      <w:tr>
        <w:trPr>
          <w:cantSplit/>
        </w:trPr>
        <w:tc>
          <w:tcPr>
            <w:tcW w:type="pct" w:w="28%"/>
            <w:shd w:fill="F8F0EB" w:val="clear"/>
            <w:tcMar>
              <w:top w:type="dxa" w:w="60"/>
              <w:left w:type="dxa" w:w="120"/>
              <w:bottom w:type="dxa" w:w="60"/>
              <w:right w:type="dxa" w:w="120"/>
            </w:tcMar>
          </w:tcPr>
          <w:p>
            <w:r>
              <w:rPr>
                <w:sz w:val="21"/>
                <w:szCs w:val="21"/>
              </w:rPr>
              <w:t xml:space="preserve">Talent acquisition difficulty</w:t>
            </w:r>
          </w:p>
        </w:tc>
        <w:tc>
          <w:tcPr>
            <w:tcW w:type="pct" w:w="14%"/>
            <w:shd w:fill="F8F0EB" w:val="clear"/>
            <w:tcMar>
              <w:top w:type="dxa" w:w="60"/>
              <w:left w:type="dxa" w:w="120"/>
              <w:bottom w:type="dxa" w:w="60"/>
              <w:right w:type="dxa" w:w="120"/>
            </w:tcMar>
          </w:tcPr>
          <w:p>
            <w:r>
              <w:rPr>
                <w:sz w:val="21"/>
                <w:szCs w:val="21"/>
              </w:rPr>
              <w:t xml:space="preserve">Medium</w:t>
            </w:r>
          </w:p>
        </w:tc>
        <w:tc>
          <w:tcPr>
            <w:tcW w:type="pct" w:w="14%"/>
            <w:shd w:fill="F8F0EB" w:val="clear"/>
            <w:tcMar>
              <w:top w:type="dxa" w:w="60"/>
              <w:left w:type="dxa" w:w="120"/>
              <w:bottom w:type="dxa" w:w="60"/>
              <w:right w:type="dxa" w:w="120"/>
            </w:tcMar>
          </w:tcPr>
          <w:p>
            <w:r>
              <w:rPr>
                <w:sz w:val="21"/>
                <w:szCs w:val="21"/>
              </w:rPr>
              <w:t xml:space="preserve">Medium</w:t>
            </w:r>
          </w:p>
        </w:tc>
        <w:tc>
          <w:tcPr>
            <w:tcW w:type="pct" w:w="44%"/>
            <w:shd w:fill="F8F0EB" w:val="clear"/>
            <w:tcMar>
              <w:top w:type="dxa" w:w="60"/>
              <w:left w:type="dxa" w:w="120"/>
              <w:bottom w:type="dxa" w:w="60"/>
              <w:right w:type="dxa" w:w="120"/>
            </w:tcMar>
          </w:tcPr>
          <w:p>
            <w:r>
              <w:rPr>
                <w:sz w:val="21"/>
                <w:szCs w:val="21"/>
              </w:rPr>
              <w:t xml:space="preserve">Strong employer brand, remote-friendly, equity participation</w:t>
            </w:r>
          </w:p>
        </w:tc>
      </w:tr>
      <w:tr>
        <w:trPr>
          <w:cantSplit/>
        </w:trPr>
        <w:tc>
          <w:tcPr>
            <w:tcW w:type="pct" w:w="28%"/>
            <w:shd w:fill="FFFFFF" w:val="clear"/>
            <w:tcMar>
              <w:top w:type="dxa" w:w="60"/>
              <w:left w:type="dxa" w:w="120"/>
              <w:bottom w:type="dxa" w:w="60"/>
              <w:right w:type="dxa" w:w="120"/>
            </w:tcMar>
          </w:tcPr>
          <w:p>
            <w:r>
              <w:rPr>
                <w:sz w:val="21"/>
                <w:szCs w:val="21"/>
              </w:rPr>
              <w:t xml:space="preserve">Data security incident</w:t>
            </w:r>
          </w:p>
        </w:tc>
        <w:tc>
          <w:tcPr>
            <w:tcW w:type="pct" w:w="14%"/>
            <w:shd w:fill="FFFFFF" w:val="clear"/>
            <w:tcMar>
              <w:top w:type="dxa" w:w="60"/>
              <w:left w:type="dxa" w:w="120"/>
              <w:bottom w:type="dxa" w:w="60"/>
              <w:right w:type="dxa" w:w="120"/>
            </w:tcMar>
          </w:tcPr>
          <w:p>
            <w:r>
              <w:rPr>
                <w:sz w:val="21"/>
                <w:szCs w:val="21"/>
              </w:rPr>
              <w:t xml:space="preserve">Low</w:t>
            </w:r>
          </w:p>
        </w:tc>
        <w:tc>
          <w:tcPr>
            <w:tcW w:type="pct" w:w="14%"/>
            <w:shd w:fill="FFFFFF" w:val="clear"/>
            <w:tcMar>
              <w:top w:type="dxa" w:w="60"/>
              <w:left w:type="dxa" w:w="120"/>
              <w:bottom w:type="dxa" w:w="60"/>
              <w:right w:type="dxa" w:w="120"/>
            </w:tcMar>
          </w:tcPr>
          <w:p>
            <w:r>
              <w:rPr>
                <w:sz w:val="21"/>
                <w:szCs w:val="21"/>
              </w:rPr>
              <w:t xml:space="preserve">Very High</w:t>
            </w:r>
          </w:p>
        </w:tc>
        <w:tc>
          <w:tcPr>
            <w:tcW w:type="pct" w:w="44%"/>
            <w:shd w:fill="FFFFFF" w:val="clear"/>
            <w:tcMar>
              <w:top w:type="dxa" w:w="60"/>
              <w:left w:type="dxa" w:w="120"/>
              <w:bottom w:type="dxa" w:w="60"/>
              <w:right w:type="dxa" w:w="120"/>
            </w:tcMar>
          </w:tcPr>
          <w:p>
            <w:r>
              <w:rPr>
                <w:sz w:val="21"/>
                <w:szCs w:val="21"/>
              </w:rPr>
              <w:t xml:space="preserve">Security-first architecture, audits, insurance, response plans</w:t>
            </w:r>
          </w:p>
        </w:tc>
      </w:tr>
      <w:tr>
        <w:trPr>
          <w:cantSplit/>
        </w:trPr>
        <w:tc>
          <w:tcPr>
            <w:tcW w:type="pct" w:w="28%"/>
            <w:shd w:fill="F8F0EB" w:val="clear"/>
            <w:tcMar>
              <w:top w:type="dxa" w:w="60"/>
              <w:left w:type="dxa" w:w="120"/>
              <w:bottom w:type="dxa" w:w="60"/>
              <w:right w:type="dxa" w:w="120"/>
            </w:tcMar>
          </w:tcPr>
          <w:p>
            <w:r>
              <w:rPr>
                <w:sz w:val="21"/>
                <w:szCs w:val="21"/>
              </w:rPr>
              <w:t xml:space="preserve">Regulatory changes</w:t>
            </w:r>
          </w:p>
        </w:tc>
        <w:tc>
          <w:tcPr>
            <w:tcW w:type="pct" w:w="14%"/>
            <w:shd w:fill="F8F0EB" w:val="clear"/>
            <w:tcMar>
              <w:top w:type="dxa" w:w="60"/>
              <w:left w:type="dxa" w:w="120"/>
              <w:bottom w:type="dxa" w:w="60"/>
              <w:right w:type="dxa" w:w="120"/>
            </w:tcMar>
          </w:tcPr>
          <w:p>
            <w:r>
              <w:rPr>
                <w:sz w:val="21"/>
                <w:szCs w:val="21"/>
              </w:rPr>
              <w:t xml:space="preserve">Low</w:t>
            </w:r>
          </w:p>
        </w:tc>
        <w:tc>
          <w:tcPr>
            <w:tcW w:type="pct" w:w="14%"/>
            <w:shd w:fill="F8F0EB" w:val="clear"/>
            <w:tcMar>
              <w:top w:type="dxa" w:w="60"/>
              <w:left w:type="dxa" w:w="120"/>
              <w:bottom w:type="dxa" w:w="60"/>
              <w:right w:type="dxa" w:w="120"/>
            </w:tcMar>
          </w:tcPr>
          <w:p>
            <w:r>
              <w:rPr>
                <w:sz w:val="21"/>
                <w:szCs w:val="21"/>
              </w:rPr>
              <w:t xml:space="preserve">Medium</w:t>
            </w:r>
          </w:p>
        </w:tc>
        <w:tc>
          <w:tcPr>
            <w:tcW w:type="pct" w:w="44%"/>
            <w:shd w:fill="F8F0EB" w:val="clear"/>
            <w:tcMar>
              <w:top w:type="dxa" w:w="60"/>
              <w:left w:type="dxa" w:w="120"/>
              <w:bottom w:type="dxa" w:w="60"/>
              <w:right w:type="dxa" w:w="120"/>
            </w:tcMar>
          </w:tcPr>
          <w:p>
            <w:r>
              <w:rPr>
                <w:sz w:val="21"/>
                <w:szCs w:val="21"/>
              </w:rPr>
              <w:t xml:space="preserve">Compliance-by-design, regulatory monitoring, adaptable policies</w:t>
            </w:r>
          </w:p>
        </w:tc>
      </w:tr>
    </w:tbl>
    <w:p>
      <w:pPr>
        <w:spacing w:after="200"/>
      </w:pPr>
    </w:p>
    <w:p>
      <w:pPr>
        <w:pStyle w:val="Heading2"/>
        <w:spacing w:after="160" w:before="300" w:line="312"/>
      </w:pPr>
      <w:bookmarkStart w:id="100126" w:name="_Toc100126"/>
      <w:r>
        <w:rPr>
          <w:rFonts w:ascii="Calibri" w:eastAsia="SimHei"/>
          <w:b/>
          <w:bCs/>
          <w:color w:val="1A2330"/>
          <w:sz w:val="28"/>
          <w:szCs w:val="28"/>
        </w:rPr>
        <w:t xml:space="preserve">11.2 Risk Matrix (Probability vs Impact)</w:t>
      </w:r>
      <w:bookmarkEnd w:id="100126"/>
    </w:p>
    <w:p>
      <w:pPr>
        <w:spacing w:after="120" w:line="312"/>
        <w:ind w:firstLine="480"/>
        <w:jc w:val="both"/>
      </w:pPr>
      <w:r>
        <w:rPr>
          <w:rFonts w:ascii="Times New Roman" w:eastAsia="Microsoft YaHei"/>
          <w:color w:val="2C3E50"/>
          <w:sz w:val="24"/>
          <w:szCs w:val="24"/>
        </w:rPr>
        <w:t xml:space="preserve">Our risk assessment framework prioritizes mitigation efforts based on combined probability and impact scores. High-priority risks receive dedicated monitoring and contingency planning. The executive team reviews risk status monthly with quarterly board updates.</w:t>
      </w:r>
    </w:p>
    <w:p>
      <w:pPr>
        <w:pStyle w:val="Heading1"/>
        <w:spacing w:after="200" w:before="400" w:line="312"/>
      </w:pPr>
      <w:bookmarkStart w:id="100127" w:name="_Toc100127"/>
      <w:r>
        <w:rPr>
          <w:rFonts w:ascii="Calibri" w:eastAsia="SimHei"/>
          <w:b/>
          <w:bCs/>
          <w:color w:val="1A2330"/>
          <w:sz w:val="32"/>
          <w:szCs w:val="32"/>
        </w:rPr>
        <w:t xml:space="preserve">12. Appendix</w:t>
      </w:r>
      <w:bookmarkEnd w:id="100127"/>
    </w:p>
    <w:p>
      <w:pPr>
        <w:pStyle w:val="Heading2"/>
        <w:spacing w:after="160" w:before="300" w:line="312"/>
      </w:pPr>
      <w:bookmarkStart w:id="100128" w:name="_Toc100128"/>
      <w:r>
        <w:rPr>
          <w:rFonts w:ascii="Calibri" w:eastAsia="SimHei"/>
          <w:b/>
          <w:bCs/>
          <w:color w:val="1A2330"/>
          <w:sz w:val="28"/>
          <w:szCs w:val="28"/>
        </w:rPr>
        <w:t xml:space="preserve">12.1 Glossary of Terms</w:t>
      </w:r>
      <w:bookmarkEnd w:id="100128"/>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tcW w:type="pct" w:w="22%"/>
            <w:shd w:fill="D4875A" w:val="clear"/>
            <w:tcMar>
              <w:top w:type="dxa" w:w="60"/>
              <w:left w:type="dxa" w:w="120"/>
              <w:bottom w:type="dxa" w:w="60"/>
              <w:right w:type="dxa" w:w="120"/>
            </w:tcMar>
          </w:tcPr>
          <w:p>
            <w:r>
              <w:rPr>
                <w:b/>
                <w:bCs/>
                <w:color w:val="FFFFFF"/>
                <w:sz w:val="21"/>
                <w:szCs w:val="21"/>
              </w:rPr>
              <w:t xml:space="preserve">Term</w:t>
            </w:r>
          </w:p>
        </w:tc>
        <w:tc>
          <w:tcPr>
            <w:tcW w:type="pct" w:w="78%"/>
            <w:shd w:fill="D4875A" w:val="clear"/>
            <w:tcMar>
              <w:top w:type="dxa" w:w="60"/>
              <w:left w:type="dxa" w:w="120"/>
              <w:bottom w:type="dxa" w:w="60"/>
              <w:right w:type="dxa" w:w="120"/>
            </w:tcMar>
          </w:tcPr>
          <w:p>
            <w:r>
              <w:rPr>
                <w:b/>
                <w:bCs/>
                <w:color w:val="FFFFFF"/>
                <w:sz w:val="21"/>
                <w:szCs w:val="21"/>
              </w:rPr>
              <w:t xml:space="preserve">Definition</w:t>
            </w:r>
          </w:p>
        </w:tc>
      </w:tr>
      <w:tr>
        <w:trPr>
          <w:cantSplit/>
        </w:trPr>
        <w:tc>
          <w:tcPr>
            <w:tcW w:type="pct" w:w="22%"/>
            <w:shd w:fill="F8F0EB" w:val="clear"/>
            <w:tcMar>
              <w:top w:type="dxa" w:w="60"/>
              <w:left w:type="dxa" w:w="120"/>
              <w:bottom w:type="dxa" w:w="60"/>
              <w:right w:type="dxa" w:w="120"/>
            </w:tcMar>
          </w:tcPr>
          <w:p>
            <w:r>
              <w:rPr>
                <w:sz w:val="21"/>
                <w:szCs w:val="21"/>
              </w:rPr>
              <w:t xml:space="preserve">ARR</w:t>
            </w:r>
          </w:p>
        </w:tc>
        <w:tc>
          <w:tcPr>
            <w:tcW w:type="pct" w:w="78%"/>
            <w:shd w:fill="F8F0EB" w:val="clear"/>
            <w:tcMar>
              <w:top w:type="dxa" w:w="60"/>
              <w:left w:type="dxa" w:w="120"/>
              <w:bottom w:type="dxa" w:w="60"/>
              <w:right w:type="dxa" w:w="120"/>
            </w:tcMar>
          </w:tcPr>
          <w:p>
            <w:r>
              <w:rPr>
                <w:sz w:val="21"/>
                <w:szCs w:val="21"/>
              </w:rPr>
              <w:t xml:space="preserve">Annual Recurring Revenue - yearly subscription revenue normalized for contracts</w:t>
            </w:r>
          </w:p>
        </w:tc>
      </w:tr>
      <w:tr>
        <w:trPr>
          <w:cantSplit/>
        </w:trPr>
        <w:tc>
          <w:tcPr>
            <w:tcW w:type="pct" w:w="22%"/>
            <w:shd w:fill="FFFFFF" w:val="clear"/>
            <w:tcMar>
              <w:top w:type="dxa" w:w="60"/>
              <w:left w:type="dxa" w:w="120"/>
              <w:bottom w:type="dxa" w:w="60"/>
              <w:right w:type="dxa" w:w="120"/>
            </w:tcMar>
          </w:tcPr>
          <w:p>
            <w:r>
              <w:rPr>
                <w:sz w:val="21"/>
                <w:szCs w:val="21"/>
              </w:rPr>
              <w:t xml:space="preserve">CAC</w:t>
            </w:r>
          </w:p>
        </w:tc>
        <w:tc>
          <w:tcPr>
            <w:tcW w:type="pct" w:w="78%"/>
            <w:shd w:fill="FFFFFF" w:val="clear"/>
            <w:tcMar>
              <w:top w:type="dxa" w:w="60"/>
              <w:left w:type="dxa" w:w="120"/>
              <w:bottom w:type="dxa" w:w="60"/>
              <w:right w:type="dxa" w:w="120"/>
            </w:tcMar>
          </w:tcPr>
          <w:p>
            <w:r>
              <w:rPr>
                <w:sz w:val="21"/>
                <w:szCs w:val="21"/>
              </w:rPr>
              <w:t xml:space="preserve">Customer Acquisition Cost - total sales/marketing spend divided by new customers</w:t>
            </w:r>
          </w:p>
        </w:tc>
      </w:tr>
      <w:tr>
        <w:trPr>
          <w:cantSplit/>
        </w:trPr>
        <w:tc>
          <w:tcPr>
            <w:tcW w:type="pct" w:w="22%"/>
            <w:shd w:fill="F8F0EB" w:val="clear"/>
            <w:tcMar>
              <w:top w:type="dxa" w:w="60"/>
              <w:left w:type="dxa" w:w="120"/>
              <w:bottom w:type="dxa" w:w="60"/>
              <w:right w:type="dxa" w:w="120"/>
            </w:tcMar>
          </w:tcPr>
          <w:p>
            <w:r>
              <w:rPr>
                <w:sz w:val="21"/>
                <w:szCs w:val="21"/>
              </w:rPr>
              <w:t xml:space="preserve">Churn Rate</w:t>
            </w:r>
          </w:p>
        </w:tc>
        <w:tc>
          <w:tcPr>
            <w:tcW w:type="pct" w:w="78%"/>
            <w:shd w:fill="F8F0EB" w:val="clear"/>
            <w:tcMar>
              <w:top w:type="dxa" w:w="60"/>
              <w:left w:type="dxa" w:w="120"/>
              <w:bottom w:type="dxa" w:w="60"/>
              <w:right w:type="dxa" w:w="120"/>
            </w:tcMar>
          </w:tcPr>
          <w:p>
            <w:r>
              <w:rPr>
                <w:sz w:val="21"/>
                <w:szCs w:val="21"/>
              </w:rPr>
              <w:t xml:space="preserve">Percentage of customers who cancel within a given period</w:t>
            </w:r>
          </w:p>
        </w:tc>
      </w:tr>
      <w:tr>
        <w:trPr>
          <w:cantSplit/>
        </w:trPr>
        <w:tc>
          <w:tcPr>
            <w:tcW w:type="pct" w:w="22%"/>
            <w:shd w:fill="FFFFFF" w:val="clear"/>
            <w:tcMar>
              <w:top w:type="dxa" w:w="60"/>
              <w:left w:type="dxa" w:w="120"/>
              <w:bottom w:type="dxa" w:w="60"/>
              <w:right w:type="dxa" w:w="120"/>
            </w:tcMar>
          </w:tcPr>
          <w:p>
            <w:r>
              <w:rPr>
                <w:sz w:val="21"/>
                <w:szCs w:val="21"/>
              </w:rPr>
              <w:t xml:space="preserve">LTV</w:t>
            </w:r>
          </w:p>
        </w:tc>
        <w:tc>
          <w:tcPr>
            <w:tcW w:type="pct" w:w="78%"/>
            <w:shd w:fill="FFFFFF" w:val="clear"/>
            <w:tcMar>
              <w:top w:type="dxa" w:w="60"/>
              <w:left w:type="dxa" w:w="120"/>
              <w:bottom w:type="dxa" w:w="60"/>
              <w:right w:type="dxa" w:w="120"/>
            </w:tcMar>
          </w:tcPr>
          <w:p>
            <w:r>
              <w:rPr>
                <w:sz w:val="21"/>
                <w:szCs w:val="21"/>
              </w:rPr>
              <w:t xml:space="preserve">Lifetime Value - predicted net profit from entire customer relationship</w:t>
            </w:r>
          </w:p>
        </w:tc>
      </w:tr>
      <w:tr>
        <w:trPr>
          <w:cantSplit/>
        </w:trPr>
        <w:tc>
          <w:tcPr>
            <w:tcW w:type="pct" w:w="22%"/>
            <w:shd w:fill="F8F0EB" w:val="clear"/>
            <w:tcMar>
              <w:top w:type="dxa" w:w="60"/>
              <w:left w:type="dxa" w:w="120"/>
              <w:bottom w:type="dxa" w:w="60"/>
              <w:right w:type="dxa" w:w="120"/>
            </w:tcMar>
          </w:tcPr>
          <w:p>
            <w:r>
              <w:rPr>
                <w:sz w:val="21"/>
                <w:szCs w:val="21"/>
              </w:rPr>
              <w:t xml:space="preserve">NRR</w:t>
            </w:r>
          </w:p>
        </w:tc>
        <w:tc>
          <w:tcPr>
            <w:tcW w:type="pct" w:w="78%"/>
            <w:shd w:fill="F8F0EB" w:val="clear"/>
            <w:tcMar>
              <w:top w:type="dxa" w:w="60"/>
              <w:left w:type="dxa" w:w="120"/>
              <w:bottom w:type="dxa" w:w="60"/>
              <w:right w:type="dxa" w:w="120"/>
            </w:tcMar>
          </w:tcPr>
          <w:p>
            <w:r>
              <w:rPr>
                <w:sz w:val="21"/>
                <w:szCs w:val="21"/>
              </w:rPr>
              <w:t xml:space="preserve">Net Revenue Retention - revenue change accounting for expansions and contractions</w:t>
            </w:r>
          </w:p>
        </w:tc>
      </w:tr>
      <w:tr>
        <w:trPr>
          <w:cantSplit/>
        </w:trPr>
        <w:tc>
          <w:tcPr>
            <w:tcW w:type="pct" w:w="22%"/>
            <w:shd w:fill="FFFFFF" w:val="clear"/>
            <w:tcMar>
              <w:top w:type="dxa" w:w="60"/>
              <w:left w:type="dxa" w:w="120"/>
              <w:bottom w:type="dxa" w:w="60"/>
              <w:right w:type="dxa" w:w="120"/>
            </w:tcMar>
          </w:tcPr>
          <w:p>
            <w:r>
              <w:rPr>
                <w:sz w:val="21"/>
                <w:szCs w:val="21"/>
              </w:rPr>
              <w:t xml:space="preserve">SAM</w:t>
            </w:r>
          </w:p>
        </w:tc>
        <w:tc>
          <w:tcPr>
            <w:tcW w:type="pct" w:w="78%"/>
            <w:shd w:fill="FFFFFF" w:val="clear"/>
            <w:tcMar>
              <w:top w:type="dxa" w:w="60"/>
              <w:left w:type="dxa" w:w="120"/>
              <w:bottom w:type="dxa" w:w="60"/>
              <w:right w:type="dxa" w:w="120"/>
            </w:tcMar>
          </w:tcPr>
          <w:p>
            <w:r>
              <w:rPr>
                <w:sz w:val="21"/>
                <w:szCs w:val="21"/>
              </w:rPr>
              <w:t xml:space="preserve">Serviceable Addressable Market - portion of TAM reachable with current model</w:t>
            </w:r>
          </w:p>
        </w:tc>
      </w:tr>
      <w:tr>
        <w:trPr>
          <w:cantSplit/>
        </w:trPr>
        <w:tc>
          <w:tcPr>
            <w:tcW w:type="pct" w:w="22%"/>
            <w:shd w:fill="F8F0EB" w:val="clear"/>
            <w:tcMar>
              <w:top w:type="dxa" w:w="60"/>
              <w:left w:type="dxa" w:w="120"/>
              <w:bottom w:type="dxa" w:w="60"/>
              <w:right w:type="dxa" w:w="120"/>
            </w:tcMar>
          </w:tcPr>
          <w:p>
            <w:r>
              <w:rPr>
                <w:sz w:val="21"/>
                <w:szCs w:val="21"/>
              </w:rPr>
              <w:t xml:space="preserve">SOM</w:t>
            </w:r>
          </w:p>
        </w:tc>
        <w:tc>
          <w:tcPr>
            <w:tcW w:type="pct" w:w="78%"/>
            <w:shd w:fill="F8F0EB" w:val="clear"/>
            <w:tcMar>
              <w:top w:type="dxa" w:w="60"/>
              <w:left w:type="dxa" w:w="120"/>
              <w:bottom w:type="dxa" w:w="60"/>
              <w:right w:type="dxa" w:w="120"/>
            </w:tcMar>
          </w:tcPr>
          <w:p>
            <w:r>
              <w:rPr>
                <w:sz w:val="21"/>
                <w:szCs w:val="21"/>
              </w:rPr>
              <w:t xml:space="preserve">Serviceable Obtainable Market - realistically achievable share of SAM</w:t>
            </w:r>
          </w:p>
        </w:tc>
      </w:tr>
      <w:tr>
        <w:trPr>
          <w:cantSplit/>
        </w:trPr>
        <w:tc>
          <w:tcPr>
            <w:tcW w:type="pct" w:w="22%"/>
            <w:shd w:fill="FFFFFF" w:val="clear"/>
            <w:tcMar>
              <w:top w:type="dxa" w:w="60"/>
              <w:left w:type="dxa" w:w="120"/>
              <w:bottom w:type="dxa" w:w="60"/>
              <w:right w:type="dxa" w:w="120"/>
            </w:tcMar>
          </w:tcPr>
          <w:p>
            <w:r>
              <w:rPr>
                <w:sz w:val="21"/>
                <w:szCs w:val="21"/>
              </w:rPr>
              <w:t xml:space="preserve">TAM</w:t>
            </w:r>
          </w:p>
        </w:tc>
        <w:tc>
          <w:tcPr>
            <w:tcW w:type="pct" w:w="78%"/>
            <w:shd w:fill="FFFFFF" w:val="clear"/>
            <w:tcMar>
              <w:top w:type="dxa" w:w="60"/>
              <w:left w:type="dxa" w:w="120"/>
              <w:bottom w:type="dxa" w:w="60"/>
              <w:right w:type="dxa" w:w="120"/>
            </w:tcMar>
          </w:tcPr>
          <w:p>
            <w:r>
              <w:rPr>
                <w:sz w:val="21"/>
                <w:szCs w:val="21"/>
              </w:rPr>
              <w:t xml:space="preserve">Total Addressable Market - total market demand for product category</w:t>
            </w:r>
          </w:p>
        </w:tc>
      </w:tr>
      <w:tr>
        <w:trPr>
          <w:cantSplit/>
        </w:trPr>
        <w:tc>
          <w:tcPr>
            <w:tcW w:type="pct" w:w="22%"/>
            <w:shd w:fill="F8F0EB" w:val="clear"/>
            <w:tcMar>
              <w:top w:type="dxa" w:w="60"/>
              <w:left w:type="dxa" w:w="120"/>
              <w:bottom w:type="dxa" w:w="60"/>
              <w:right w:type="dxa" w:w="120"/>
            </w:tcMar>
          </w:tcPr>
          <w:p>
            <w:r>
              <w:rPr>
                <w:sz w:val="21"/>
                <w:szCs w:val="21"/>
              </w:rPr>
              <w:t xml:space="preserve">SaaS</w:t>
            </w:r>
          </w:p>
        </w:tc>
        <w:tc>
          <w:tcPr>
            <w:tcW w:type="pct" w:w="78%"/>
            <w:shd w:fill="F8F0EB" w:val="clear"/>
            <w:tcMar>
              <w:top w:type="dxa" w:w="60"/>
              <w:left w:type="dxa" w:w="120"/>
              <w:bottom w:type="dxa" w:w="60"/>
              <w:right w:type="dxa" w:w="120"/>
            </w:tcMar>
          </w:tcPr>
          <w:p>
            <w:r>
              <w:rPr>
                <w:sz w:val="21"/>
                <w:szCs w:val="21"/>
              </w:rPr>
              <w:t xml:space="preserve">Software as a Service - cloud-based software delivery model</w:t>
            </w:r>
          </w:p>
        </w:tc>
      </w:tr>
      <w:tr>
        <w:trPr>
          <w:cantSplit/>
        </w:trPr>
        <w:tc>
          <w:tcPr>
            <w:tcW w:type="pct" w:w="22%"/>
            <w:shd w:fill="FFFFFF" w:val="clear"/>
            <w:tcMar>
              <w:top w:type="dxa" w:w="60"/>
              <w:left w:type="dxa" w:w="120"/>
              <w:bottom w:type="dxa" w:w="60"/>
              <w:right w:type="dxa" w:w="120"/>
            </w:tcMar>
          </w:tcPr>
          <w:p>
            <w:r>
              <w:rPr>
                <w:sz w:val="21"/>
                <w:szCs w:val="21"/>
              </w:rPr>
              <w:t xml:space="preserve">ACV</w:t>
            </w:r>
          </w:p>
        </w:tc>
        <w:tc>
          <w:tcPr>
            <w:tcW w:type="pct" w:w="78%"/>
            <w:shd w:fill="FFFFFF" w:val="clear"/>
            <w:tcMar>
              <w:top w:type="dxa" w:w="60"/>
              <w:left w:type="dxa" w:w="120"/>
              <w:bottom w:type="dxa" w:w="60"/>
              <w:right w:type="dxa" w:w="120"/>
            </w:tcMar>
          </w:tcPr>
          <w:p>
            <w:r>
              <w:rPr>
                <w:sz w:val="21"/>
                <w:szCs w:val="21"/>
              </w:rPr>
              <w:t xml:space="preserve">Annual Contract Value - average annual revenue per customer contract</w:t>
            </w:r>
          </w:p>
        </w:tc>
      </w:tr>
    </w:tbl>
    <w:p>
      <w:pPr>
        <w:spacing w:after="200"/>
      </w:pPr>
    </w:p>
    <w:p>
      <w:pPr>
        <w:pStyle w:val="Heading2"/>
        <w:spacing w:after="160" w:before="300" w:line="312"/>
      </w:pPr>
      <w:bookmarkStart w:id="100129" w:name="_Toc100129"/>
      <w:r>
        <w:rPr>
          <w:rFonts w:ascii="Calibri" w:eastAsia="SimHei"/>
          <w:b/>
          <w:bCs/>
          <w:color w:val="1A2330"/>
          <w:sz w:val="28"/>
          <w:szCs w:val="28"/>
        </w:rPr>
        <w:t xml:space="preserve">12.2 References</w:t>
      </w:r>
      <w:bookmarkEnd w:id="100129"/>
    </w:p>
    <w:p>
      <w:pPr>
        <w:spacing w:after="120" w:line="312"/>
        <w:ind w:firstLine="480"/>
        <w:jc w:val="both"/>
      </w:pPr>
      <w:r>
        <w:rPr>
          <w:rFonts w:ascii="Times New Roman" w:eastAsia="Microsoft YaHei"/>
          <w:color w:val="2C3E50"/>
          <w:sz w:val="24"/>
          <w:szCs w:val="24"/>
        </w:rPr>
        <w:t xml:space="preserve">Industry data sourced from: IDC Scientific Software Market Analysis (2024); Gartner Market Guide for Scientific R&amp;D Software; CB Insights State of Venture Report; proprietary Endeavor Science market surveys (n=150+); and publicly available company filings.</w:t>
      </w:r>
    </w:p>
    <w:p>
      <w:pPr>
        <w:pStyle w:val="Heading2"/>
        <w:spacing w:after="160" w:before="300" w:line="312"/>
      </w:pPr>
      <w:bookmarkStart w:id="100130" w:name="_Toc100130"/>
      <w:r>
        <w:rPr>
          <w:rFonts w:ascii="Calibri" w:eastAsia="SimHei"/>
          <w:b/>
          <w:bCs/>
          <w:color w:val="1A2330"/>
          <w:sz w:val="28"/>
          <w:szCs w:val="28"/>
        </w:rPr>
        <w:t xml:space="preserve">12.3 Contact Information</w:t>
      </w:r>
      <w:bookmarkEnd w:id="100130"/>
    </w:p>
    <w:p>
      <w:pPr>
        <w:spacing w:after="100"/>
      </w:pPr>
    </w:p>
    <w:p>
      <w:pPr>
        <w:spacing w:after="120" w:line="312"/>
        <w:jc w:val="both"/>
      </w:pPr>
      <w:r>
        <w:rPr>
          <w:rFonts w:ascii="Times New Roman" w:eastAsia="Microsoft YaHei"/>
          <w:color w:val="2C3E50"/>
          <w:sz w:val="24"/>
          <w:szCs w:val="24"/>
        </w:rPr>
        <w:t xml:space="preserve">Endeavor Science Inc.</w:t>
      </w:r>
    </w:p>
    <w:p>
      <w:pPr>
        <w:spacing w:after="120" w:line="312"/>
        <w:jc w:val="both"/>
      </w:pPr>
      <w:r>
        <w:rPr>
          <w:rFonts w:ascii="Times New Roman" w:eastAsia="Microsoft YaHei"/>
          <w:color w:val="2C3E50"/>
          <w:sz w:val="24"/>
          <w:szCs w:val="24"/>
        </w:rPr>
        <w:t xml:space="preserve">Founder: TestDemo</w:t>
      </w:r>
    </w:p>
    <w:p>
      <w:pPr>
        <w:spacing w:after="120" w:line="312"/>
        <w:jc w:val="both"/>
      </w:pPr>
      <w:r>
        <w:rPr>
          <w:rFonts w:ascii="Times New Roman" w:eastAsia="Microsoft YaHei"/>
          <w:color w:val="2C3E50"/>
          <w:sz w:val="24"/>
          <w:szCs w:val="24"/>
        </w:rPr>
        <w:t xml:space="preserve">Email: testdemoqwenai2025@gmail.com</w:t>
      </w:r>
    </w:p>
    <w:p>
      <w:pPr>
        <w:spacing w:after="120" w:line="312"/>
        <w:jc w:val="both"/>
      </w:pPr>
      <w:r>
        <w:rPr>
          <w:rFonts w:ascii="Times New Roman" w:eastAsia="Microsoft YaHei"/>
          <w:color w:val="2C3E50"/>
          <w:sz w:val="24"/>
          <w:szCs w:val="24"/>
        </w:rPr>
        <w:t xml:space="preserve">Document Date: August 2026</w:t>
      </w:r>
    </w:p>
    <w:p>
      <w:pPr>
        <w:spacing w:after="120" w:line="312"/>
        <w:jc w:val="both"/>
      </w:pPr>
      <w:r>
        <w:rPr>
          <w:rFonts w:ascii="Times New Roman" w:eastAsia="Microsoft YaHei"/>
          <w:color w:val="2C3E50"/>
          <w:sz w:val="24"/>
          <w:szCs w:val="24"/>
        </w:rPr>
        <w:t xml:space="preserve">Classification: Confidential - For Investor Review</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Endeavor Science (AETH-1) -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2C3E5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12"/>
      <w:outlineLvl w:val="0"/>
    </w:pPr>
    <w:rPr>
      <w:rFonts w:ascii="Calibri" w:eastAsia="SimHei"/>
      <w:b/>
      <w:bCs/>
      <w:color w:val="1A2330"/>
      <w:sz w:val="32"/>
      <w:szCs w:val="32"/>
    </w:rPr>
  </w:style>
  <w:style w:type="paragraph" w:styleId="Heading2">
    <w:name w:val="Heading 2"/>
    <w:basedOn w:val="Normal"/>
    <w:next w:val="Normal"/>
    <w:qFormat/>
    <w:pPr>
      <w:spacing w:after="160" w:before="280" w:line="312"/>
      <w:outlineLvl w:val="1"/>
    </w:pPr>
    <w:rPr>
      <w:rFonts w:ascii="Calibri" w:eastAsia="SimHei"/>
      <w:b/>
      <w:bCs/>
      <w:color w:val="1A2330"/>
      <w:sz w:val="28"/>
      <w:szCs w:val="28"/>
    </w:rPr>
  </w:style>
  <w:style w:type="paragraph" w:styleId="Heading3">
    <w:name w:val="Heading 3"/>
    <w:basedOn w:val="Normal"/>
    <w:next w:val="Normal"/>
    <w:qFormat/>
    <w:pPr>
      <w:spacing w:after="120" w:before="240" w:line="312"/>
      <w:outlineLvl w:val="2"/>
    </w:pPr>
    <w:rPr>
      <w:rFonts w:ascii="Calibri" w:eastAsia="SimHei"/>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2026-08-05T21:28:20.271Z</dcterms:created>
  <dcterms:modified xsi:type="dcterms:W3CDTF">2026-08-05T21:28:20.271Z</dcterms:modified>
</cp:coreProperties>
</file>

<file path=docProps/custom.xml><?xml version="1.0" encoding="utf-8"?>
<Properties xmlns="http://schemas.openxmlformats.org/officeDocument/2006/custom-properties" xmlns:vt="http://schemas.openxmlformats.org/officeDocument/2006/docPropsVTypes"/>
</file>