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CR21093-A_华夏银行绿金系统需求_投融资碳核算模块</w:t>
      </w:r>
    </w:p>
    <w:p>
      <w:pPr>
        <w:jc w:val="center"/>
      </w:pPr>
      <w:r>
        <w:rPr>
          <w:rFonts w:ascii="黑体" w:hAnsi="黑体" w:eastAsia="黑体"/>
          <w:b/>
          <w:sz w:val="44"/>
        </w:rPr>
        <w:t>需求规格说明书</w:t>
      </w:r>
    </w:p>
    <w:p/>
    <w:p>
      <w:r>
        <w:rPr>
          <w:rFonts w:ascii="宋体" w:hAnsi="宋体" w:eastAsia="宋体"/>
          <w:sz w:val="21"/>
        </w:rPr>
        <w:t>本文档中所包含的信息属于内部资料，如无华夏银行的书面许可，任何人都无权复制或利用。</w:t>
      </w:r>
    </w:p>
    <w:p>
      <w:pPr>
        <w:pStyle w:val="Heading1"/>
      </w:pPr>
      <w:r>
        <w:rPr>
          <w:rFonts w:ascii="黑体" w:hAnsi="黑体" w:eastAsia="黑体"/>
        </w:rPr>
        <w:t>文档信息</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属性</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文档名称</w:t>
            </w:r>
          </w:p>
        </w:tc>
        <w:tc>
          <w:tcPr>
            <w:tcW w:type="dxa" w:w="4680"/>
            <w:vAlign w:val="center"/>
          </w:tcPr>
          <w:p>
            <w:r>
              <w:rPr>
                <w:rFonts w:ascii="宋体" w:hAnsi="宋体" w:eastAsia="宋体"/>
              </w:rPr>
              <w:t>华夏银行绿金系统-投融资碳核算模块_需求规格说明书</w:t>
            </w:r>
          </w:p>
        </w:tc>
      </w:tr>
      <w:tr>
        <w:tc>
          <w:tcPr>
            <w:tcW w:type="dxa" w:w="4680"/>
            <w:vAlign w:val="center"/>
          </w:tcPr>
          <w:p>
            <w:r>
              <w:rPr>
                <w:rFonts w:ascii="宋体" w:hAnsi="宋体" w:eastAsia="宋体"/>
              </w:rPr>
              <w:t>文档版本</w:t>
            </w:r>
          </w:p>
        </w:tc>
        <w:tc>
          <w:tcPr>
            <w:tcW w:type="dxa" w:w="4680"/>
            <w:vAlign w:val="center"/>
          </w:tcPr>
          <w:p>
            <w:r>
              <w:rPr>
                <w:rFonts w:ascii="宋体" w:hAnsi="宋体" w:eastAsia="宋体"/>
              </w:rPr>
              <w:t>v0.1</w:t>
            </w:r>
          </w:p>
        </w:tc>
      </w:tr>
      <w:tr>
        <w:tc>
          <w:tcPr>
            <w:tcW w:type="dxa" w:w="4680"/>
            <w:vAlign w:val="center"/>
          </w:tcPr>
          <w:p>
            <w:r>
              <w:rPr>
                <w:rFonts w:ascii="宋体" w:hAnsi="宋体" w:eastAsia="宋体"/>
              </w:rPr>
              <w:t>文档状态</w:t>
            </w:r>
          </w:p>
        </w:tc>
        <w:tc>
          <w:tcPr>
            <w:tcW w:type="dxa" w:w="4680"/>
            <w:vAlign w:val="center"/>
          </w:tcPr>
          <w:p>
            <w:r>
              <w:rPr>
                <w:rFonts w:ascii="宋体" w:hAnsi="宋体" w:eastAsia="宋体"/>
              </w:rPr>
              <w:t>讨论稿（按当前原型与已确认需求整理）</w:t>
            </w:r>
          </w:p>
        </w:tc>
      </w:tr>
      <w:tr>
        <w:tc>
          <w:tcPr>
            <w:tcW w:type="dxa" w:w="4680"/>
            <w:vAlign w:val="center"/>
          </w:tcPr>
          <w:p>
            <w:r>
              <w:rPr>
                <w:rFonts w:ascii="宋体" w:hAnsi="宋体" w:eastAsia="宋体"/>
              </w:rPr>
              <w:t>编制日期</w:t>
            </w:r>
          </w:p>
        </w:tc>
        <w:tc>
          <w:tcPr>
            <w:tcW w:type="dxa" w:w="4680"/>
            <w:vAlign w:val="center"/>
          </w:tcPr>
          <w:p>
            <w:r>
              <w:rPr>
                <w:rFonts w:ascii="宋体" w:hAnsi="宋体" w:eastAsia="宋体"/>
              </w:rPr>
              <w:t>2026-06-10</w:t>
            </w:r>
          </w:p>
        </w:tc>
      </w:tr>
      <w:tr>
        <w:tc>
          <w:tcPr>
            <w:tcW w:type="dxa" w:w="4680"/>
            <w:vAlign w:val="center"/>
          </w:tcPr>
          <w:p>
            <w:r>
              <w:rPr>
                <w:rFonts w:ascii="宋体" w:hAnsi="宋体" w:eastAsia="宋体"/>
              </w:rPr>
              <w:t>编制依据</w:t>
            </w:r>
          </w:p>
        </w:tc>
        <w:tc>
          <w:tcPr>
            <w:tcW w:type="dxa" w:w="4680"/>
            <w:vAlign w:val="center"/>
          </w:tcPr>
          <w:p>
            <w:r>
              <w:rPr>
                <w:rFonts w:ascii="宋体" w:hAnsi="宋体" w:eastAsia="宋体"/>
              </w:rPr>
              <w:t>当前投融资碳核算原型；《华夏银行投融资碳核算系统—需求规格说明书》；《华夏银行绿金系统-投融资碳核算与企业碳账户-项目需求说明书》；《商业银行投融资业务碳核算与报告指南》</w:t>
            </w:r>
          </w:p>
        </w:tc>
      </w:tr>
      <w:tr>
        <w:tc>
          <w:tcPr>
            <w:tcW w:type="dxa" w:w="4680"/>
            <w:vAlign w:val="center"/>
          </w:tcPr>
          <w:p>
            <w:r>
              <w:rPr>
                <w:rFonts w:ascii="宋体" w:hAnsi="宋体" w:eastAsia="宋体"/>
              </w:rPr>
              <w:t>参考模板</w:t>
            </w:r>
          </w:p>
        </w:tc>
        <w:tc>
          <w:tcPr>
            <w:tcW w:type="dxa" w:w="4680"/>
            <w:vAlign w:val="center"/>
          </w:tcPr>
          <w:p>
            <w:r>
              <w:rPr>
                <w:rFonts w:ascii="宋体" w:hAnsi="宋体" w:eastAsia="宋体"/>
              </w:rPr>
              <w:t>《华夏银行绿金系统-气候风险压测模块_需求规格说明书-v0.3》</w:t>
            </w:r>
          </w:p>
        </w:tc>
      </w:tr>
    </w:tbl>
    <w:p>
      <w:pPr>
        <w:pStyle w:val="Heading1"/>
      </w:pPr>
      <w:r>
        <w:rPr>
          <w:rFonts w:ascii="黑体" w:hAnsi="黑体" w:eastAsia="黑体"/>
        </w:rPr>
        <w:t>修订记录</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r>
              <w:rPr>
                <w:rFonts w:ascii="宋体" w:hAnsi="宋体" w:eastAsia="宋体"/>
                <w:b/>
              </w:rPr>
              <w:t>版本</w:t>
            </w:r>
          </w:p>
        </w:tc>
        <w:tc>
          <w:tcPr>
            <w:tcW w:type="dxa" w:w="2340"/>
            <w:vAlign w:val="center"/>
            <w:shd w:fill="D9EAF7"/>
          </w:tcPr>
          <w:p>
            <w:r>
              <w:rPr>
                <w:rFonts w:ascii="宋体" w:hAnsi="宋体" w:eastAsia="宋体"/>
                <w:b/>
              </w:rPr>
              <w:t>修订日期</w:t>
            </w:r>
          </w:p>
        </w:tc>
        <w:tc>
          <w:tcPr>
            <w:tcW w:type="dxa" w:w="2340"/>
            <w:vAlign w:val="center"/>
            <w:shd w:fill="D9EAF7"/>
          </w:tcPr>
          <w:p>
            <w:r>
              <w:rPr>
                <w:rFonts w:ascii="宋体" w:hAnsi="宋体" w:eastAsia="宋体"/>
                <w:b/>
              </w:rPr>
              <w:t>修订说明</w:t>
            </w:r>
          </w:p>
        </w:tc>
        <w:tc>
          <w:tcPr>
            <w:tcW w:type="dxa" w:w="2340"/>
            <w:vAlign w:val="center"/>
            <w:shd w:fill="D9EAF7"/>
          </w:tcPr>
          <w:p>
            <w:r>
              <w:rPr>
                <w:rFonts w:ascii="宋体" w:hAnsi="宋体" w:eastAsia="宋体"/>
                <w:b/>
              </w:rPr>
              <w:t>修订人</w:t>
            </w:r>
          </w:p>
        </w:tc>
      </w:tr>
      <w:tr>
        <w:tc>
          <w:tcPr>
            <w:tcW w:type="dxa" w:w="2340"/>
            <w:vAlign w:val="center"/>
          </w:tcPr>
          <w:p>
            <w:r>
              <w:rPr>
                <w:rFonts w:ascii="宋体" w:hAnsi="宋体" w:eastAsia="宋体"/>
              </w:rPr>
              <w:t>v0.1</w:t>
            </w:r>
          </w:p>
        </w:tc>
        <w:tc>
          <w:tcPr>
            <w:tcW w:type="dxa" w:w="2340"/>
            <w:vAlign w:val="center"/>
          </w:tcPr>
          <w:p>
            <w:r>
              <w:rPr>
                <w:rFonts w:ascii="宋体" w:hAnsi="宋体" w:eastAsia="宋体"/>
              </w:rPr>
              <w:t>2026-06-10</w:t>
            </w:r>
          </w:p>
        </w:tc>
        <w:tc>
          <w:tcPr>
            <w:tcW w:type="dxa" w:w="2340"/>
            <w:vAlign w:val="center"/>
          </w:tcPr>
          <w:p>
            <w:r>
              <w:rPr>
                <w:rFonts w:ascii="宋体" w:hAnsi="宋体" w:eastAsia="宋体"/>
              </w:rPr>
              <w:t>按当前原型和已确认业务流程形成投融资碳核算需求规格说明书初稿；待确认项以黄色高亮或红色字体标识。</w:t>
            </w:r>
          </w:p>
        </w:tc>
        <w:tc>
          <w:tcPr>
            <w:tcW w:type="dxa" w:w="2340"/>
            <w:vAlign w:val="center"/>
          </w:tcPr>
          <w:p>
            <w:r>
              <w:rPr>
                <w:rFonts w:ascii="宋体" w:hAnsi="宋体" w:eastAsia="宋体"/>
              </w:rPr>
              <w:t>Cursor 生成，待华夏银行业务/科技评审</w:t>
            </w:r>
          </w:p>
        </w:tc>
      </w:tr>
    </w:tbl>
    <w:p>
      <w:pPr>
        <w:pStyle w:val="Heading1"/>
      </w:pPr>
      <w:r>
        <w:rPr>
          <w:rFonts w:ascii="黑体" w:hAnsi="黑体" w:eastAsia="黑体"/>
        </w:rPr>
        <w:t>需求对应记录</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Pr>
                <w:rFonts w:ascii="宋体" w:hAnsi="宋体" w:eastAsia="宋体"/>
                <w:b/>
              </w:rPr>
              <w:t>需求类型</w:t>
            </w:r>
          </w:p>
        </w:tc>
        <w:tc>
          <w:tcPr>
            <w:tcW w:type="dxa" w:w="3120"/>
            <w:vAlign w:val="center"/>
            <w:shd w:fill="D9EAF7"/>
          </w:tcPr>
          <w:p>
            <w:r>
              <w:rPr>
                <w:rFonts w:ascii="宋体" w:hAnsi="宋体" w:eastAsia="宋体"/>
                <w:b/>
              </w:rPr>
              <w:t>对应模块</w:t>
            </w:r>
          </w:p>
        </w:tc>
        <w:tc>
          <w:tcPr>
            <w:tcW w:type="dxa" w:w="3120"/>
            <w:vAlign w:val="center"/>
            <w:shd w:fill="D9EAF7"/>
          </w:tcPr>
          <w:p>
            <w:r>
              <w:rPr>
                <w:rFonts w:ascii="宋体" w:hAnsi="宋体" w:eastAsia="宋体"/>
                <w:b/>
              </w:rPr>
              <w:t>说明</w:t>
            </w:r>
          </w:p>
        </w:tc>
      </w:tr>
      <w:tr>
        <w:tc>
          <w:tcPr>
            <w:tcW w:type="dxa" w:w="3120"/>
            <w:vAlign w:val="center"/>
          </w:tcPr>
          <w:p>
            <w:r>
              <w:rPr>
                <w:rFonts w:ascii="宋体" w:hAnsi="宋体" w:eastAsia="宋体"/>
              </w:rPr>
              <w:t>功能需求</w:t>
            </w:r>
          </w:p>
        </w:tc>
        <w:tc>
          <w:tcPr>
            <w:tcW w:type="dxa" w:w="3120"/>
            <w:vAlign w:val="center"/>
          </w:tcPr>
          <w:p>
            <w:r>
              <w:rPr>
                <w:rFonts w:ascii="宋体" w:hAnsi="宋体" w:eastAsia="宋体"/>
              </w:rPr>
              <w:t>核算任务管理</w:t>
            </w:r>
          </w:p>
        </w:tc>
        <w:tc>
          <w:tcPr>
            <w:tcW w:type="dxa" w:w="3120"/>
            <w:vAlign w:val="center"/>
          </w:tcPr>
          <w:p>
            <w:r>
              <w:rPr>
                <w:rFonts w:ascii="宋体" w:hAnsi="宋体" w:eastAsia="宋体"/>
              </w:rPr>
              <w:t>范畴确定、清单识别、对象边界、数据采集、排放计算、生成报告</w:t>
            </w:r>
          </w:p>
        </w:tc>
      </w:tr>
      <w:tr>
        <w:tc>
          <w:tcPr>
            <w:tcW w:type="dxa" w:w="3120"/>
            <w:vAlign w:val="center"/>
          </w:tcPr>
          <w:p>
            <w:r>
              <w:rPr>
                <w:rFonts w:ascii="宋体" w:hAnsi="宋体" w:eastAsia="宋体"/>
              </w:rPr>
              <w:t>功能需求</w:t>
            </w:r>
          </w:p>
        </w:tc>
        <w:tc>
          <w:tcPr>
            <w:tcW w:type="dxa" w:w="3120"/>
            <w:vAlign w:val="center"/>
          </w:tcPr>
          <w:p>
            <w:r>
              <w:rPr>
                <w:rFonts w:ascii="宋体" w:hAnsi="宋体" w:eastAsia="宋体"/>
              </w:rPr>
              <w:t>数据补录</w:t>
            </w:r>
          </w:p>
        </w:tc>
        <w:tc>
          <w:tcPr>
            <w:tcW w:type="dxa" w:w="3120"/>
            <w:vAlign w:val="center"/>
          </w:tcPr>
          <w:p>
            <w:r>
              <w:rPr>
                <w:rFonts w:ascii="宋体" w:hAnsi="宋体" w:eastAsia="宋体"/>
              </w:rPr>
              <w:t>客户经理任务清单、在线补录、项目信息补充、附件上传、提交审核</w:t>
            </w:r>
          </w:p>
        </w:tc>
      </w:tr>
      <w:tr>
        <w:tc>
          <w:tcPr>
            <w:tcW w:type="dxa" w:w="3120"/>
            <w:vAlign w:val="center"/>
          </w:tcPr>
          <w:p>
            <w:r>
              <w:rPr>
                <w:rFonts w:ascii="宋体" w:hAnsi="宋体" w:eastAsia="宋体"/>
              </w:rPr>
              <w:t>功能需求</w:t>
            </w:r>
          </w:p>
        </w:tc>
        <w:tc>
          <w:tcPr>
            <w:tcW w:type="dxa" w:w="3120"/>
            <w:vAlign w:val="center"/>
          </w:tcPr>
          <w:p>
            <w:r>
              <w:rPr>
                <w:rFonts w:ascii="宋体" w:hAnsi="宋体" w:eastAsia="宋体"/>
              </w:rPr>
              <w:t>数据审核</w:t>
            </w:r>
          </w:p>
        </w:tc>
        <w:tc>
          <w:tcPr>
            <w:tcW w:type="dxa" w:w="3120"/>
            <w:vAlign w:val="center"/>
          </w:tcPr>
          <w:p>
            <w:r>
              <w:rPr>
                <w:rFonts w:ascii="宋体" w:hAnsi="宋体" w:eastAsia="宋体"/>
              </w:rPr>
              <w:t>分行初审、总行终审、退回重填、管理员驳回（沿用绿金系统审批能力，本原型提供演示页）</w:t>
            </w:r>
          </w:p>
        </w:tc>
      </w:tr>
      <w:tr>
        <w:tc>
          <w:tcPr>
            <w:tcW w:type="dxa" w:w="3120"/>
            <w:vAlign w:val="center"/>
          </w:tcPr>
          <w:p>
            <w:r>
              <w:rPr>
                <w:rFonts w:ascii="宋体" w:hAnsi="宋体" w:eastAsia="宋体"/>
              </w:rPr>
              <w:t>功能需求</w:t>
            </w:r>
          </w:p>
        </w:tc>
        <w:tc>
          <w:tcPr>
            <w:tcW w:type="dxa" w:w="3120"/>
            <w:vAlign w:val="center"/>
          </w:tcPr>
          <w:p>
            <w:r>
              <w:rPr>
                <w:rFonts w:ascii="宋体" w:hAnsi="宋体" w:eastAsia="宋体"/>
              </w:rPr>
              <w:t>排放因子库</w:t>
            </w:r>
          </w:p>
        </w:tc>
        <w:tc>
          <w:tcPr>
            <w:tcW w:type="dxa" w:w="3120"/>
            <w:vAlign w:val="center"/>
          </w:tcPr>
          <w:p>
            <w:r>
              <w:rPr>
                <w:rFonts w:ascii="宋体" w:hAnsi="宋体" w:eastAsia="宋体"/>
              </w:rPr>
              <w:t>内置因子查询、自定义因子新增/编辑/删除、复制内置因子为自定义</w:t>
            </w:r>
          </w:p>
        </w:tc>
      </w:tr>
      <w:tr>
        <w:tc>
          <w:tcPr>
            <w:tcW w:type="dxa" w:w="3120"/>
            <w:vAlign w:val="center"/>
          </w:tcPr>
          <w:p>
            <w:r>
              <w:rPr>
                <w:rFonts w:ascii="宋体" w:hAnsi="宋体" w:eastAsia="宋体"/>
              </w:rPr>
              <w:t>功能需求</w:t>
            </w:r>
          </w:p>
        </w:tc>
        <w:tc>
          <w:tcPr>
            <w:tcW w:type="dxa" w:w="3120"/>
            <w:vAlign w:val="center"/>
          </w:tcPr>
          <w:p>
            <w:r>
              <w:rPr>
                <w:rFonts w:ascii="宋体" w:hAnsi="宋体" w:eastAsia="宋体"/>
              </w:rPr>
              <w:t>企业碳账户</w:t>
            </w:r>
          </w:p>
        </w:tc>
        <w:tc>
          <w:tcPr>
            <w:tcW w:type="dxa" w:w="3120"/>
            <w:vAlign w:val="center"/>
          </w:tcPr>
          <w:p>
            <w:r>
              <w:rPr>
                <w:rFonts w:ascii="宋体" w:hAnsi="宋体" w:eastAsia="宋体"/>
              </w:rPr>
              <w:t>确认结果后归集排放记录，支持账户列表、详情、明细、趋势、状态管理</w:t>
            </w:r>
          </w:p>
        </w:tc>
      </w:tr>
      <w:tr>
        <w:tc>
          <w:tcPr>
            <w:tcW w:type="dxa" w:w="3120"/>
            <w:vAlign w:val="center"/>
          </w:tcPr>
          <w:p>
            <w:r>
              <w:rPr>
                <w:rFonts w:ascii="宋体" w:hAnsi="宋体" w:eastAsia="宋体"/>
              </w:rPr>
              <w:t>接口需求</w:t>
            </w:r>
          </w:p>
        </w:tc>
        <w:tc>
          <w:tcPr>
            <w:tcW w:type="dxa" w:w="3120"/>
            <w:vAlign w:val="center"/>
          </w:tcPr>
          <w:p>
            <w:r>
              <w:rPr>
                <w:rFonts w:ascii="宋体" w:hAnsi="宋体" w:eastAsia="宋体"/>
              </w:rPr>
              <w:t>信贷台账/审批/组织权限</w:t>
            </w:r>
          </w:p>
        </w:tc>
        <w:tc>
          <w:tcPr>
            <w:tcW w:type="dxa" w:w="3120"/>
            <w:vAlign w:val="center"/>
          </w:tcPr>
          <w:p>
            <w:r>
              <w:rPr>
                <w:rFonts w:ascii="宋体" w:hAnsi="宋体" w:eastAsia="宋体"/>
              </w:rPr>
              <w:t>台账同步、审批状态回写、角色与数据权限沿用宿主系统</w:t>
            </w:r>
          </w:p>
        </w:tc>
      </w:tr>
      <w:tr>
        <w:tc>
          <w:tcPr>
            <w:tcW w:type="dxa" w:w="3120"/>
            <w:vAlign w:val="center"/>
          </w:tcPr>
          <w:p>
            <w:r>
              <w:rPr>
                <w:rFonts w:ascii="宋体" w:hAnsi="宋体" w:eastAsia="宋体"/>
              </w:rPr>
              <w:t>非功能需求</w:t>
            </w:r>
          </w:p>
        </w:tc>
        <w:tc>
          <w:tcPr>
            <w:tcW w:type="dxa" w:w="3120"/>
            <w:vAlign w:val="center"/>
          </w:tcPr>
          <w:p>
            <w:r>
              <w:rPr>
                <w:rFonts w:ascii="宋体" w:hAnsi="宋体" w:eastAsia="宋体"/>
              </w:rPr>
              <w:t>安全、性能、留痕、可维护</w:t>
            </w:r>
          </w:p>
        </w:tc>
        <w:tc>
          <w:tcPr>
            <w:tcW w:type="dxa" w:w="3120"/>
            <w:vAlign w:val="center"/>
          </w:tcPr>
          <w:p>
            <w:r>
              <w:rPr>
                <w:rFonts w:ascii="宋体" w:hAnsi="宋体" w:eastAsia="宋体"/>
              </w:rPr>
              <w:t>按绿金系统总体规范执行；碳核算关键业务动作留痕</w:t>
            </w:r>
          </w:p>
        </w:tc>
      </w:tr>
    </w:tbl>
    <w:p>
      <w:pPr>
        <w:pStyle w:val="Heading1"/>
      </w:pPr>
      <w:r>
        <w:rPr>
          <w:rFonts w:ascii="黑体" w:hAnsi="黑体" w:eastAsia="黑体"/>
        </w:rPr>
        <w:t>目录</w:t>
      </w:r>
    </w:p>
    <w:p>
      <w:r>
        <w:rPr>
          <w:rFonts w:ascii="宋体" w:hAnsi="宋体" w:eastAsia="宋体"/>
          <w:sz w:val="21"/>
        </w:rPr>
        <w:t>（目录页码可在 Word 中通过“引用 - 更新目录”生成。）</w:t>
      </w:r>
    </w:p>
    <w:p>
      <w:pPr>
        <w:pStyle w:val="Heading1"/>
      </w:pPr>
      <w:r>
        <w:rPr>
          <w:rFonts w:ascii="黑体" w:hAnsi="黑体" w:eastAsia="黑体"/>
        </w:rPr>
        <w:t>1 引言</w:t>
      </w:r>
    </w:p>
    <w:p>
      <w:pPr>
        <w:pStyle w:val="Heading2"/>
      </w:pPr>
      <w:r>
        <w:rPr>
          <w:rFonts w:ascii="黑体" w:hAnsi="黑体" w:eastAsia="黑体"/>
        </w:rPr>
        <w:t>1.1 目的</w:t>
      </w:r>
    </w:p>
    <w:p>
      <w:r>
        <w:rPr>
          <w:rFonts w:ascii="宋体" w:hAnsi="宋体" w:eastAsia="宋体"/>
          <w:sz w:val="21"/>
        </w:rPr>
        <w:t>本需求规格说明书针对华夏银行绿金系统中的投融资碳核算模块，明确模块建设目标、业务流程、功能需求、外部接口需求及非功能性需求，为后续概要设计、详细设计、开发、测试和验收提供依据。</w:t>
      </w:r>
    </w:p>
    <w:p>
      <w:r>
        <w:rPr>
          <w:rFonts w:ascii="宋体" w:hAnsi="宋体" w:eastAsia="宋体"/>
          <w:sz w:val="21"/>
        </w:rPr>
        <w:t>本文档依据当前已实现原型、既有需求文档及已确认业务规则编写。对尚未明确的业务品种映射关系、生产接口字段、审批状态码、导出模板细节等内容，以“待确认”方式标识，不作为已确认实现口径。</w:t>
      </w:r>
    </w:p>
    <w:p>
      <w:pPr>
        <w:pStyle w:val="Heading2"/>
      </w:pPr>
      <w:r>
        <w:rPr>
          <w:rFonts w:ascii="黑体" w:hAnsi="黑体" w:eastAsia="黑体"/>
        </w:rPr>
        <w:t>1.2 背景</w:t>
      </w:r>
    </w:p>
    <w:p>
      <w:r>
        <w:rPr>
          <w:rFonts w:ascii="宋体" w:hAnsi="宋体" w:eastAsia="宋体"/>
          <w:sz w:val="21"/>
        </w:rPr>
        <w:t>华夏银行需对投融资业务开展碳排放核算，满足监管报送与内部绿色金融管理分析需求。投融资碳核算能力以功能模块形式嵌入现有绿金系统，不单独建设独立系统。</w:t>
      </w:r>
    </w:p>
    <w:p>
      <w:r>
        <w:rPr>
          <w:rFonts w:ascii="宋体" w:hAnsi="宋体" w:eastAsia="宋体"/>
          <w:sz w:val="21"/>
        </w:rPr>
        <w:t>当前系统主流程包括：总行或分行发起核算任务、同步信贷台账、生成候选清单、确认正式清单与核算边界、发放数据补录任务或执行经济法直算、客户经理补录、分级审核、排放计算、结果确认、报告生成以及企业碳账户归集。</w:t>
      </w:r>
    </w:p>
    <w:p>
      <w:pPr>
        <w:pStyle w:val="Heading2"/>
      </w:pPr>
      <w:r>
        <w:rPr>
          <w:rFonts w:ascii="黑体" w:hAnsi="黑体" w:eastAsia="黑体"/>
        </w:rPr>
        <w:t>1.3 定义</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术语</w:t>
            </w:r>
          </w:p>
        </w:tc>
        <w:tc>
          <w:tcPr>
            <w:tcW w:type="dxa" w:w="4680"/>
            <w:vAlign w:val="center"/>
            <w:shd w:fill="D9EAF7"/>
          </w:tcPr>
          <w:p>
            <w:r>
              <w:rPr>
                <w:rFonts w:ascii="宋体" w:hAnsi="宋体" w:eastAsia="宋体"/>
                <w:b/>
              </w:rPr>
              <w:t>定义</w:t>
            </w:r>
          </w:p>
        </w:tc>
      </w:tr>
      <w:tr>
        <w:tc>
          <w:tcPr>
            <w:tcW w:type="dxa" w:w="4680"/>
            <w:vAlign w:val="center"/>
          </w:tcPr>
          <w:p>
            <w:r>
              <w:rPr>
                <w:rFonts w:ascii="宋体" w:hAnsi="宋体" w:eastAsia="宋体"/>
              </w:rPr>
              <w:t>八大高碳行业</w:t>
            </w:r>
          </w:p>
        </w:tc>
        <w:tc>
          <w:tcPr>
            <w:tcW w:type="dxa" w:w="4680"/>
            <w:vAlign w:val="center"/>
          </w:tcPr>
          <w:p>
            <w:r>
              <w:rPr>
                <w:rFonts w:ascii="宋体" w:hAnsi="宋体" w:eastAsia="宋体"/>
              </w:rPr>
              <w:t>电力、建材、钢铁、有色、石化、化工、造纸、民航等监管重点行业，具体行业代码以行内确认的国标映射为准。</w:t>
            </w:r>
          </w:p>
        </w:tc>
      </w:tr>
      <w:tr>
        <w:tc>
          <w:tcPr>
            <w:tcW w:type="dxa" w:w="4680"/>
            <w:vAlign w:val="center"/>
          </w:tcPr>
          <w:p>
            <w:r>
              <w:rPr>
                <w:rFonts w:ascii="宋体" w:hAnsi="宋体" w:eastAsia="宋体"/>
              </w:rPr>
              <w:t>核算任务</w:t>
            </w:r>
          </w:p>
        </w:tc>
        <w:tc>
          <w:tcPr>
            <w:tcW w:type="dxa" w:w="4680"/>
            <w:vAlign w:val="center"/>
          </w:tcPr>
          <w:p>
            <w:r>
              <w:rPr>
                <w:rFonts w:ascii="宋体" w:hAnsi="宋体" w:eastAsia="宋体"/>
              </w:rPr>
              <w:t>围绕某一核算年度或专项范围发起的一次投融资碳核算流程。</w:t>
            </w:r>
          </w:p>
        </w:tc>
      </w:tr>
      <w:tr>
        <w:tc>
          <w:tcPr>
            <w:tcW w:type="dxa" w:w="4680"/>
            <w:vAlign w:val="center"/>
          </w:tcPr>
          <w:p>
            <w:r>
              <w:rPr>
                <w:rFonts w:ascii="宋体" w:hAnsi="宋体" w:eastAsia="宋体"/>
              </w:rPr>
              <w:t>候选清单</w:t>
            </w:r>
          </w:p>
        </w:tc>
        <w:tc>
          <w:tcPr>
            <w:tcW w:type="dxa" w:w="4680"/>
            <w:vAlign w:val="center"/>
          </w:tcPr>
          <w:p>
            <w:r>
              <w:rPr>
                <w:rFonts w:ascii="宋体" w:hAnsi="宋体" w:eastAsia="宋体"/>
              </w:rPr>
              <w:t>系统根据台账数据及筛选规则初步识别的拟纳入核算业务清单。</w:t>
            </w:r>
          </w:p>
        </w:tc>
      </w:tr>
      <w:tr>
        <w:tc>
          <w:tcPr>
            <w:tcW w:type="dxa" w:w="4680"/>
            <w:vAlign w:val="center"/>
          </w:tcPr>
          <w:p>
            <w:r>
              <w:rPr>
                <w:rFonts w:ascii="宋体" w:hAnsi="宋体" w:eastAsia="宋体"/>
              </w:rPr>
              <w:t>正式清单</w:t>
            </w:r>
          </w:p>
        </w:tc>
        <w:tc>
          <w:tcPr>
            <w:tcW w:type="dxa" w:w="4680"/>
            <w:vAlign w:val="center"/>
          </w:tcPr>
          <w:p>
            <w:r>
              <w:rPr>
                <w:rFonts w:ascii="宋体" w:hAnsi="宋体" w:eastAsia="宋体"/>
              </w:rPr>
              <w:t>经管理端确认并锁定后的待核算业务清单。</w:t>
            </w:r>
          </w:p>
        </w:tc>
      </w:tr>
      <w:tr>
        <w:tc>
          <w:tcPr>
            <w:tcW w:type="dxa" w:w="4680"/>
            <w:vAlign w:val="center"/>
          </w:tcPr>
          <w:p>
            <w:r>
              <w:rPr>
                <w:rFonts w:ascii="宋体" w:hAnsi="宋体" w:eastAsia="宋体"/>
              </w:rPr>
              <w:t>核算类型</w:t>
            </w:r>
          </w:p>
        </w:tc>
        <w:tc>
          <w:tcPr>
            <w:tcW w:type="dxa" w:w="4680"/>
            <w:vAlign w:val="center"/>
          </w:tcPr>
          <w:p>
            <w:r>
              <w:rPr>
                <w:rFonts w:ascii="宋体" w:hAnsi="宋体" w:eastAsia="宋体"/>
              </w:rPr>
              <w:t>按业务品种和项目信息判断的核算路径，包括非项目、项目（以项目方式计算）、项目（计算方法待定）、项目（以非项目方式计算）。</w:t>
            </w:r>
          </w:p>
        </w:tc>
      </w:tr>
      <w:tr>
        <w:tc>
          <w:tcPr>
            <w:tcW w:type="dxa" w:w="4680"/>
            <w:vAlign w:val="center"/>
          </w:tcPr>
          <w:p>
            <w:r>
              <w:rPr>
                <w:rFonts w:ascii="宋体" w:hAnsi="宋体" w:eastAsia="宋体"/>
              </w:rPr>
              <w:t>项目类业务</w:t>
            </w:r>
          </w:p>
        </w:tc>
        <w:tc>
          <w:tcPr>
            <w:tcW w:type="dxa" w:w="4680"/>
            <w:vAlign w:val="center"/>
          </w:tcPr>
          <w:p>
            <w:r>
              <w:rPr>
                <w:rFonts w:ascii="宋体" w:hAnsi="宋体" w:eastAsia="宋体"/>
              </w:rPr>
              <w:t>由业务品种判断为项目类的业务，如当前原型中项目贷款、一般性固定资产贷款、出口退税账户托管贷款等。</w:t>
            </w:r>
          </w:p>
        </w:tc>
      </w:tr>
      <w:tr>
        <w:tc>
          <w:tcPr>
            <w:tcW w:type="dxa" w:w="4680"/>
            <w:vAlign w:val="center"/>
          </w:tcPr>
          <w:p>
            <w:r>
              <w:rPr>
                <w:rFonts w:ascii="宋体" w:hAnsi="宋体" w:eastAsia="宋体"/>
              </w:rPr>
              <w:t>补录任务</w:t>
            </w:r>
          </w:p>
        </w:tc>
        <w:tc>
          <w:tcPr>
            <w:tcW w:type="dxa" w:w="4680"/>
            <w:vAlign w:val="center"/>
          </w:tcPr>
          <w:p>
            <w:r>
              <w:rPr>
                <w:rFonts w:ascii="宋体" w:hAnsi="宋体" w:eastAsia="宋体"/>
              </w:rPr>
              <w:t>针对正式清单中需补充排放数据、项目信息或佐证附件的业务，派发给客户经理的填报任务。</w:t>
            </w:r>
          </w:p>
        </w:tc>
      </w:tr>
      <w:tr>
        <w:tc>
          <w:tcPr>
            <w:tcW w:type="dxa" w:w="4680"/>
            <w:vAlign w:val="center"/>
          </w:tcPr>
          <w:p>
            <w:r>
              <w:rPr>
                <w:rFonts w:ascii="宋体" w:hAnsi="宋体" w:eastAsia="宋体"/>
              </w:rPr>
              <w:t>主体排放</w:t>
            </w:r>
          </w:p>
        </w:tc>
        <w:tc>
          <w:tcPr>
            <w:tcW w:type="dxa" w:w="4680"/>
            <w:vAlign w:val="center"/>
          </w:tcPr>
          <w:p>
            <w:r>
              <w:rPr>
                <w:rFonts w:ascii="宋体" w:hAnsi="宋体" w:eastAsia="宋体"/>
              </w:rPr>
              <w:t>融资主体或项目在核算周期内产生的碳排放量。</w:t>
            </w:r>
          </w:p>
        </w:tc>
      </w:tr>
      <w:tr>
        <w:tc>
          <w:tcPr>
            <w:tcW w:type="dxa" w:w="4680"/>
            <w:vAlign w:val="center"/>
          </w:tcPr>
          <w:p>
            <w:r>
              <w:rPr>
                <w:rFonts w:ascii="宋体" w:hAnsi="宋体" w:eastAsia="宋体"/>
              </w:rPr>
              <w:t>归因排放</w:t>
            </w:r>
          </w:p>
        </w:tc>
        <w:tc>
          <w:tcPr>
            <w:tcW w:type="dxa" w:w="4680"/>
            <w:vAlign w:val="center"/>
          </w:tcPr>
          <w:p>
            <w:r>
              <w:rPr>
                <w:rFonts w:ascii="宋体" w:hAnsi="宋体" w:eastAsia="宋体"/>
              </w:rPr>
              <w:t>按照本行投融资占比归因至本行业务的碳排放量。</w:t>
            </w:r>
          </w:p>
        </w:tc>
      </w:tr>
      <w:tr>
        <w:tc>
          <w:tcPr>
            <w:tcW w:type="dxa" w:w="4680"/>
            <w:vAlign w:val="center"/>
          </w:tcPr>
          <w:p>
            <w:r>
              <w:rPr>
                <w:rFonts w:ascii="宋体" w:hAnsi="宋体" w:eastAsia="宋体"/>
              </w:rPr>
              <w:t>经济法直算</w:t>
            </w:r>
          </w:p>
        </w:tc>
        <w:tc>
          <w:tcPr>
            <w:tcW w:type="dxa" w:w="4680"/>
            <w:vAlign w:val="center"/>
          </w:tcPr>
          <w:p>
            <w:r>
              <w:rPr>
                <w:rFonts w:ascii="宋体" w:hAnsi="宋体" w:eastAsia="宋体"/>
              </w:rPr>
              <w:t>对可直接使用营业收入或资产规模和行业因子的业务，由系统自动计算主体排放的方式。</w:t>
            </w:r>
          </w:p>
        </w:tc>
      </w:tr>
      <w:tr>
        <w:tc>
          <w:tcPr>
            <w:tcW w:type="dxa" w:w="4680"/>
            <w:vAlign w:val="center"/>
          </w:tcPr>
          <w:p>
            <w:r>
              <w:rPr>
                <w:rFonts w:ascii="宋体" w:hAnsi="宋体" w:eastAsia="宋体"/>
              </w:rPr>
              <w:t>企业碳账户</w:t>
            </w:r>
          </w:p>
        </w:tc>
        <w:tc>
          <w:tcPr>
            <w:tcW w:type="dxa" w:w="4680"/>
            <w:vAlign w:val="center"/>
          </w:tcPr>
          <w:p>
            <w:r>
              <w:rPr>
                <w:rFonts w:ascii="宋体" w:hAnsi="宋体" w:eastAsia="宋体"/>
              </w:rPr>
              <w:t>以统一社会信用代码和贷款号为主键，沉淀已确认核算结果的客户维度排放账户。</w:t>
            </w:r>
          </w:p>
        </w:tc>
      </w:tr>
    </w:tbl>
    <w:p>
      <w:pPr>
        <w:pStyle w:val="Heading2"/>
      </w:pPr>
      <w:r>
        <w:rPr>
          <w:rFonts w:ascii="黑体" w:hAnsi="黑体" w:eastAsia="黑体"/>
        </w:rPr>
        <w:t>1.4 参考资料</w:t>
      </w:r>
    </w:p>
    <w:p>
      <w:pPr>
        <w:pStyle w:val="ListNumber"/>
      </w:pPr>
      <w:r>
        <w:rPr>
          <w:rFonts w:ascii="宋体" w:hAnsi="宋体" w:eastAsia="宋体"/>
          <w:sz w:val="21"/>
        </w:rPr>
        <w:t>《商业银行投融资业务碳核算与报告指南》</w:t>
      </w:r>
    </w:p>
    <w:p>
      <w:pPr>
        <w:pStyle w:val="ListNumber"/>
      </w:pPr>
      <w:r>
        <w:rPr>
          <w:rFonts w:ascii="宋体" w:hAnsi="宋体" w:eastAsia="宋体"/>
          <w:sz w:val="21"/>
        </w:rPr>
        <w:t>《华夏银行投融资碳核算系统—需求规格说明书》</w:t>
      </w:r>
    </w:p>
    <w:p>
      <w:pPr>
        <w:pStyle w:val="ListNumber"/>
      </w:pPr>
      <w:r>
        <w:rPr>
          <w:rFonts w:ascii="宋体" w:hAnsi="宋体" w:eastAsia="宋体"/>
          <w:sz w:val="21"/>
        </w:rPr>
        <w:t>《华夏银行绿金系统-投融资碳核算与企业碳账户-项目需求说明书》</w:t>
      </w:r>
    </w:p>
    <w:p>
      <w:pPr>
        <w:pStyle w:val="ListNumber"/>
      </w:pPr>
      <w:r>
        <w:rPr>
          <w:rFonts w:ascii="宋体" w:hAnsi="宋体" w:eastAsia="宋体"/>
          <w:sz w:val="21"/>
        </w:rPr>
        <w:t>当前投融资碳核算原型及测试脚本（test-flow.js、test-full.js、test-seed.js）</w:t>
      </w:r>
    </w:p>
    <w:p>
      <w:pPr>
        <w:pStyle w:val="ListNumber"/>
      </w:pPr>
      <w:r>
        <w:rPr>
          <w:rFonts w:ascii="宋体" w:hAnsi="宋体" w:eastAsia="宋体"/>
          <w:sz w:val="21"/>
        </w:rPr>
        <w:t>《华夏银行绿金系统-气候风险压测模块_需求规格说明书-v0.3》（格式参考）</w:t>
      </w:r>
    </w:p>
    <w:p>
      <w:pPr>
        <w:pStyle w:val="Heading1"/>
      </w:pPr>
      <w:r>
        <w:rPr>
          <w:rFonts w:ascii="黑体" w:hAnsi="黑体" w:eastAsia="黑体"/>
        </w:rPr>
        <w:t>2 任务概述</w:t>
      </w:r>
    </w:p>
    <w:p>
      <w:pPr>
        <w:pStyle w:val="Heading2"/>
      </w:pPr>
      <w:r>
        <w:rPr>
          <w:rFonts w:ascii="黑体" w:hAnsi="黑体" w:eastAsia="黑体"/>
        </w:rPr>
        <w:t>2.1 目标</w:t>
      </w:r>
    </w:p>
    <w:p>
      <w:pPr>
        <w:pStyle w:val="ListBullet"/>
      </w:pPr>
      <w:r>
        <w:rPr>
          <w:rFonts w:ascii="宋体" w:hAnsi="宋体" w:eastAsia="宋体"/>
          <w:sz w:val="21"/>
        </w:rPr>
        <w:t>支持总行管理员或授权分行创建核算任务，并按年度组织完整核算流程。</w:t>
      </w:r>
    </w:p>
    <w:p>
      <w:pPr>
        <w:pStyle w:val="ListBullet"/>
      </w:pPr>
      <w:r>
        <w:rPr>
          <w:rFonts w:ascii="宋体" w:hAnsi="宋体" w:eastAsia="宋体"/>
          <w:sz w:val="21"/>
        </w:rPr>
        <w:t>支持从信贷台账接口批次同步数据，按筛选规则生成候选清单和正式清单。</w:t>
      </w:r>
    </w:p>
    <w:p>
      <w:pPr>
        <w:pStyle w:val="ListBullet"/>
      </w:pPr>
      <w:r>
        <w:rPr>
          <w:rFonts w:ascii="宋体" w:hAnsi="宋体" w:eastAsia="宋体"/>
          <w:sz w:val="21"/>
        </w:rPr>
        <w:t>支持按业务品种判断项目类/非项目类，并结合项目信息判断核算类型。</w:t>
      </w:r>
    </w:p>
    <w:p>
      <w:pPr>
        <w:pStyle w:val="ListBullet"/>
      </w:pPr>
      <w:r>
        <w:rPr>
          <w:rFonts w:ascii="宋体" w:hAnsi="宋体" w:eastAsia="宋体"/>
          <w:sz w:val="21"/>
        </w:rPr>
        <w:t>支持经济法直算与客户经理补录两类数据采集方式，完成主体排放数据准备。</w:t>
      </w:r>
    </w:p>
    <w:p>
      <w:pPr>
        <w:pStyle w:val="ListBullet"/>
      </w:pPr>
      <w:r>
        <w:rPr>
          <w:rFonts w:ascii="宋体" w:hAnsi="宋体" w:eastAsia="宋体"/>
          <w:sz w:val="21"/>
        </w:rPr>
        <w:t>支持客户经理在线补录、附件上传、提交审核，以及分行/总行分级审核。</w:t>
      </w:r>
    </w:p>
    <w:p>
      <w:pPr>
        <w:pStyle w:val="ListBullet"/>
      </w:pPr>
      <w:r>
        <w:rPr>
          <w:rFonts w:ascii="宋体" w:hAnsi="宋体" w:eastAsia="宋体"/>
          <w:sz w:val="21"/>
        </w:rPr>
        <w:t>支持报告法、能源法、产品法、经济活动法、其他计算法等方法的数据采集和演示计算。</w:t>
      </w:r>
    </w:p>
    <w:p>
      <w:pPr>
        <w:pStyle w:val="ListBullet"/>
      </w:pPr>
      <w:r>
        <w:rPr>
          <w:rFonts w:ascii="宋体" w:hAnsi="宋体" w:eastAsia="宋体"/>
          <w:sz w:val="21"/>
        </w:rPr>
        <w:t>支持排放因子库查询与自定义维护。</w:t>
      </w:r>
    </w:p>
    <w:p>
      <w:pPr>
        <w:pStyle w:val="ListBullet"/>
      </w:pPr>
      <w:r>
        <w:rPr>
          <w:rFonts w:ascii="宋体" w:hAnsi="宋体" w:eastAsia="宋体"/>
          <w:sz w:val="21"/>
        </w:rPr>
        <w:t>支持核算结果确认后生成报告，并将已确认排放记录归集至企业碳账户。</w:t>
      </w:r>
    </w:p>
    <w:p>
      <w:pPr>
        <w:pStyle w:val="Heading2"/>
      </w:pPr>
      <w:r>
        <w:rPr>
          <w:rFonts w:ascii="黑体" w:hAnsi="黑体" w:eastAsia="黑体"/>
        </w:rPr>
        <w:t>2.2 约束</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约束项</w:t>
            </w:r>
          </w:p>
        </w:tc>
        <w:tc>
          <w:tcPr>
            <w:tcW w:type="dxa" w:w="4680"/>
            <w:vAlign w:val="center"/>
            <w:shd w:fill="D9EAF7"/>
          </w:tcPr>
          <w:p>
            <w:r>
              <w:rPr>
                <w:rFonts w:ascii="宋体" w:hAnsi="宋体" w:eastAsia="宋体"/>
                <w:b/>
              </w:rPr>
              <w:t>说明</w:t>
            </w:r>
          </w:p>
        </w:tc>
      </w:tr>
      <w:tr>
        <w:tc>
          <w:tcPr>
            <w:tcW w:type="dxa" w:w="4680"/>
            <w:vAlign w:val="center"/>
          </w:tcPr>
          <w:p>
            <w:r>
              <w:rPr>
                <w:rFonts w:ascii="宋体" w:hAnsi="宋体" w:eastAsia="宋体"/>
              </w:rPr>
              <w:t>系统集成</w:t>
            </w:r>
          </w:p>
        </w:tc>
        <w:tc>
          <w:tcPr>
            <w:tcW w:type="dxa" w:w="4680"/>
            <w:vAlign w:val="center"/>
          </w:tcPr>
          <w:p>
            <w:r>
              <w:rPr>
                <w:rFonts w:ascii="宋体" w:hAnsi="宋体" w:eastAsia="宋体"/>
              </w:rPr>
              <w:t>投融资碳核算模块嵌入绿金系统，复用宿主系统菜单、组织权限、角色权限、待办和审批能力。</w:t>
            </w:r>
          </w:p>
        </w:tc>
      </w:tr>
      <w:tr>
        <w:tc>
          <w:tcPr>
            <w:tcW w:type="dxa" w:w="4680"/>
            <w:vAlign w:val="center"/>
          </w:tcPr>
          <w:p>
            <w:r>
              <w:rPr>
                <w:rFonts w:ascii="宋体" w:hAnsi="宋体" w:eastAsia="宋体"/>
              </w:rPr>
              <w:t>审批能力</w:t>
            </w:r>
          </w:p>
        </w:tc>
        <w:tc>
          <w:tcPr>
            <w:tcW w:type="dxa" w:w="4680"/>
            <w:vAlign w:val="center"/>
          </w:tcPr>
          <w:p>
            <w:r>
              <w:rPr>
                <w:rFonts w:ascii="宋体" w:hAnsi="宋体" w:eastAsia="宋体"/>
              </w:rPr>
              <w:t>正式生产应沿用绿金系统既有审批能力；当前原型中提供数据审核页面用于演示分行初审、总行终审、退回等状态流转。</w:t>
            </w:r>
          </w:p>
        </w:tc>
      </w:tr>
      <w:tr>
        <w:tc>
          <w:tcPr>
            <w:tcW w:type="dxa" w:w="4680"/>
            <w:vAlign w:val="center"/>
          </w:tcPr>
          <w:p>
            <w:r>
              <w:rPr>
                <w:rFonts w:ascii="宋体" w:hAnsi="宋体" w:eastAsia="宋体"/>
              </w:rPr>
              <w:t>数据来源</w:t>
            </w:r>
          </w:p>
        </w:tc>
        <w:tc>
          <w:tcPr>
            <w:tcW w:type="dxa" w:w="4680"/>
            <w:vAlign w:val="center"/>
          </w:tcPr>
          <w:p>
            <w:r>
              <w:rPr>
                <w:rFonts w:ascii="宋体" w:hAnsi="宋体" w:eastAsia="宋体"/>
              </w:rPr>
              <w:t>当前原型以接口管理中的信贷台账月度批次为主；Excel 导入为历史需求中提及的兜底能力，当前原型未完整实现。</w:t>
            </w:r>
          </w:p>
        </w:tc>
      </w:tr>
      <w:tr>
        <w:tc>
          <w:tcPr>
            <w:tcW w:type="dxa" w:w="4680"/>
            <w:vAlign w:val="center"/>
          </w:tcPr>
          <w:p>
            <w:r>
              <w:rPr>
                <w:rFonts w:ascii="宋体" w:hAnsi="宋体" w:eastAsia="宋体"/>
              </w:rPr>
              <w:t>角色范围</w:t>
            </w:r>
          </w:p>
        </w:tc>
        <w:tc>
          <w:tcPr>
            <w:tcW w:type="dxa" w:w="4680"/>
            <w:vAlign w:val="center"/>
          </w:tcPr>
          <w:p>
            <w:r>
              <w:rPr>
                <w:rFonts w:ascii="宋体" w:hAnsi="宋体" w:eastAsia="宋体"/>
              </w:rPr>
              <w:t>当前原型包含总行、分行、客户经理三类角色；客户经理不可访问核算任务、数据采集、数据审核、企业碳账户和因子库管理入口。</w:t>
            </w:r>
          </w:p>
        </w:tc>
      </w:tr>
      <w:tr>
        <w:tc>
          <w:tcPr>
            <w:tcW w:type="dxa" w:w="4680"/>
            <w:vAlign w:val="center"/>
          </w:tcPr>
          <w:p>
            <w:r>
              <w:rPr>
                <w:rFonts w:ascii="宋体" w:hAnsi="宋体" w:eastAsia="宋体"/>
              </w:rPr>
              <w:t>业务品种判断</w:t>
            </w:r>
          </w:p>
        </w:tc>
        <w:tc>
          <w:tcPr>
            <w:tcW w:type="dxa" w:w="4680"/>
            <w:vAlign w:val="center"/>
          </w:tcPr>
          <w:p>
            <w:r>
              <w:rPr>
                <w:rFonts w:ascii="宋体" w:hAnsi="宋体" w:eastAsia="宋体"/>
              </w:rPr>
              <w:t>项目类/非项目类先由业务品种判断；业务品种完整映射关系尚未由业务侧提供，当前原型使用有限枚举。</w:t>
            </w:r>
          </w:p>
        </w:tc>
      </w:tr>
      <w:tr>
        <w:tc>
          <w:tcPr>
            <w:tcW w:type="dxa" w:w="4680"/>
            <w:vAlign w:val="center"/>
          </w:tcPr>
          <w:p>
            <w:r>
              <w:rPr>
                <w:rFonts w:ascii="宋体" w:hAnsi="宋体" w:eastAsia="宋体"/>
              </w:rPr>
              <w:t>报告输出</w:t>
            </w:r>
          </w:p>
        </w:tc>
        <w:tc>
          <w:tcPr>
            <w:tcW w:type="dxa" w:w="4680"/>
            <w:vAlign w:val="center"/>
          </w:tcPr>
          <w:p>
            <w:r>
              <w:rPr>
                <w:rFonts w:ascii="宋体" w:hAnsi="宋体" w:eastAsia="宋体"/>
              </w:rPr>
              <w:t>当前原型支持报告导出记录与演示下载；监管正式模板需由华夏银行提供后确认。</w:t>
            </w:r>
          </w:p>
        </w:tc>
      </w:tr>
    </w:tbl>
    <w:p>
      <w:r>
        <w:rPr>
          <w:rFonts w:ascii="宋体" w:hAnsi="宋体" w:eastAsia="宋体"/>
          <w:b/>
          <w:highlight w:val="yellow"/>
        </w:rPr>
        <w:t>待确认：</w:t>
      </w:r>
      <w:r>
        <w:rPr>
          <w:rFonts w:ascii="宋体" w:hAnsi="宋体" w:eastAsia="宋体"/>
          <w:highlight w:val="yellow"/>
        </w:rPr>
        <w:t>项目类业务品种的完整映射关系、生产信贷台账接口字段、审批系统状态码、报告模板最终版式。</w:t>
      </w:r>
    </w:p>
    <w:p>
      <w:pPr>
        <w:pStyle w:val="Heading2"/>
      </w:pPr>
      <w:r>
        <w:rPr>
          <w:rFonts w:ascii="黑体" w:hAnsi="黑体" w:eastAsia="黑体"/>
        </w:rPr>
        <w:t>2.3 业务流程概述</w:t>
      </w:r>
    </w:p>
    <w:p>
      <w:pPr>
        <w:pStyle w:val="ListNumber"/>
      </w:pPr>
      <w:r>
        <w:rPr>
          <w:rFonts w:ascii="宋体" w:hAnsi="宋体" w:eastAsia="宋体"/>
          <w:sz w:val="21"/>
        </w:rPr>
        <w:t>总行管理员或授权分行创建核算任务，配置核算年度、行业范围、组织范围、余额口径、输出目标和截止日期。</w:t>
      </w:r>
    </w:p>
    <w:p>
      <w:pPr>
        <w:pStyle w:val="ListNumber"/>
      </w:pPr>
      <w:r>
        <w:rPr>
          <w:rFonts w:ascii="宋体" w:hAnsi="宋体" w:eastAsia="宋体"/>
          <w:sz w:val="21"/>
        </w:rPr>
        <w:t>管理员在清单识别环节从接口管理同步核算年度信贷台账，系统形成候选业务清单。</w:t>
      </w:r>
    </w:p>
    <w:p>
      <w:pPr>
        <w:pStyle w:val="ListNumber"/>
      </w:pPr>
      <w:r>
        <w:rPr>
          <w:rFonts w:ascii="宋体" w:hAnsi="宋体" w:eastAsia="宋体"/>
          <w:sz w:val="21"/>
        </w:rPr>
        <w:t>管理员筛选并勾选拟纳入业务，生成正式清单；项目类业务若接口已带项目信息，则核算类型为“项目（以项目方式计算）”，若无项目信息则为“项目（计算方法待定）”。</w:t>
      </w:r>
    </w:p>
    <w:p>
      <w:pPr>
        <w:pStyle w:val="ListNumber"/>
      </w:pPr>
      <w:r>
        <w:rPr>
          <w:rFonts w:ascii="宋体" w:hAnsi="宋体" w:eastAsia="宋体"/>
          <w:sz w:val="21"/>
        </w:rPr>
        <w:t>管理员锁定正式清单，进入数据采集；对经济法直算业务可系统直算，对需补录业务可发放补录任务给客户经理。</w:t>
      </w:r>
    </w:p>
    <w:p>
      <w:pPr>
        <w:pStyle w:val="ListNumber"/>
      </w:pPr>
      <w:r>
        <w:rPr>
          <w:rFonts w:ascii="宋体" w:hAnsi="宋体" w:eastAsia="宋体"/>
          <w:sz w:val="21"/>
        </w:rPr>
        <w:t>客户经理在补录页填报企业基本信息、排放数据、附件；项目类业务可选择是否可提供项目信息。选择可提供时填写项目字段；选择不可提供并提交后，核算类型更新为“项目（以非项目方式计算）”。</w:t>
      </w:r>
    </w:p>
    <w:p>
      <w:pPr>
        <w:pStyle w:val="ListNumber"/>
      </w:pPr>
      <w:r>
        <w:rPr>
          <w:rFonts w:ascii="宋体" w:hAnsi="宋体" w:eastAsia="宋体"/>
          <w:sz w:val="21"/>
        </w:rPr>
        <w:t>客户经理提交补录后进入待审核状态；总行发起任务走分行初审、总行终审，分行发起任务走分行审核。</w:t>
      </w:r>
    </w:p>
    <w:p>
      <w:pPr>
        <w:pStyle w:val="ListNumber"/>
      </w:pPr>
      <w:r>
        <w:rPr>
          <w:rFonts w:ascii="宋体" w:hAnsi="宋体" w:eastAsia="宋体"/>
          <w:sz w:val="21"/>
        </w:rPr>
        <w:t>数据采集完成后进入排放计算，系统计算主体排放、归因排放、质量等级和 DQR。</w:t>
      </w:r>
    </w:p>
    <w:p>
      <w:pPr>
        <w:pStyle w:val="ListNumber"/>
      </w:pPr>
      <w:r>
        <w:rPr>
          <w:rFonts w:ascii="宋体" w:hAnsi="宋体" w:eastAsia="宋体"/>
          <w:sz w:val="21"/>
        </w:rPr>
        <w:t>管理员确认计算结果后进入生成报告，并将确认后的排放记录同步归集至企业碳账户。</w:t>
      </w:r>
    </w:p>
    <w:p>
      <w:pPr>
        <w:pStyle w:val="Heading2"/>
      </w:pPr>
      <w:r>
        <w:rPr>
          <w:rFonts w:ascii="黑体" w:hAnsi="黑体" w:eastAsia="黑体"/>
        </w:rPr>
        <w:t>2.4 用户角色</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Pr>
                <w:rFonts w:ascii="宋体" w:hAnsi="宋体" w:eastAsia="宋体"/>
                <w:b/>
              </w:rPr>
              <w:t>角色</w:t>
            </w:r>
          </w:p>
        </w:tc>
        <w:tc>
          <w:tcPr>
            <w:tcW w:type="dxa" w:w="3120"/>
            <w:vAlign w:val="center"/>
            <w:shd w:fill="D9EAF7"/>
          </w:tcPr>
          <w:p>
            <w:r>
              <w:rPr>
                <w:rFonts w:ascii="宋体" w:hAnsi="宋体" w:eastAsia="宋体"/>
                <w:b/>
              </w:rPr>
              <w:t>职责</w:t>
            </w:r>
          </w:p>
        </w:tc>
        <w:tc>
          <w:tcPr>
            <w:tcW w:type="dxa" w:w="3120"/>
            <w:vAlign w:val="center"/>
            <w:shd w:fill="D9EAF7"/>
          </w:tcPr>
          <w:p>
            <w:r>
              <w:rPr>
                <w:rFonts w:ascii="宋体" w:hAnsi="宋体" w:eastAsia="宋体"/>
                <w:b/>
              </w:rPr>
              <w:t>当前原型权限范围</w:t>
            </w:r>
          </w:p>
        </w:tc>
      </w:tr>
      <w:tr>
        <w:tc>
          <w:tcPr>
            <w:tcW w:type="dxa" w:w="3120"/>
            <w:vAlign w:val="center"/>
          </w:tcPr>
          <w:p>
            <w:r>
              <w:rPr>
                <w:rFonts w:ascii="宋体" w:hAnsi="宋体" w:eastAsia="宋体"/>
              </w:rPr>
              <w:t>总行管理员/总行绿金部</w:t>
            </w:r>
          </w:p>
        </w:tc>
        <w:tc>
          <w:tcPr>
            <w:tcW w:type="dxa" w:w="3120"/>
            <w:vAlign w:val="center"/>
          </w:tcPr>
          <w:p>
            <w:r>
              <w:rPr>
                <w:rFonts w:ascii="宋体" w:hAnsi="宋体" w:eastAsia="宋体"/>
              </w:rPr>
              <w:t>发起任务、同步台账、确认清单、组织数据采集、执行直算、总行终审、确认结果、导出报告、查看企业碳账户。</w:t>
            </w:r>
          </w:p>
        </w:tc>
        <w:tc>
          <w:tcPr>
            <w:tcW w:type="dxa" w:w="3120"/>
            <w:vAlign w:val="center"/>
          </w:tcPr>
          <w:p>
            <w:r>
              <w:rPr>
                <w:rFonts w:ascii="宋体" w:hAnsi="宋体" w:eastAsia="宋体"/>
              </w:rPr>
              <w:t>可访问核算任务、数据采集、数据审核、排放因子库、接口管理、企业碳账户。</w:t>
            </w:r>
          </w:p>
        </w:tc>
      </w:tr>
      <w:tr>
        <w:tc>
          <w:tcPr>
            <w:tcW w:type="dxa" w:w="3120"/>
            <w:vAlign w:val="center"/>
          </w:tcPr>
          <w:p>
            <w:r>
              <w:rPr>
                <w:rFonts w:ascii="宋体" w:hAnsi="宋体" w:eastAsia="宋体"/>
              </w:rPr>
              <w:t>分行负责人/分行绿金负责人</w:t>
            </w:r>
          </w:p>
        </w:tc>
        <w:tc>
          <w:tcPr>
            <w:tcW w:type="dxa" w:w="3120"/>
            <w:vAlign w:val="center"/>
          </w:tcPr>
          <w:p>
            <w:r>
              <w:rPr>
                <w:rFonts w:ascii="宋体" w:hAnsi="宋体" w:eastAsia="宋体"/>
              </w:rPr>
              <w:t>辖内任务发起或承接、补录组织、分行审核、查看辖内账户和进度。</w:t>
            </w:r>
          </w:p>
        </w:tc>
        <w:tc>
          <w:tcPr>
            <w:tcW w:type="dxa" w:w="3120"/>
            <w:vAlign w:val="center"/>
          </w:tcPr>
          <w:p>
            <w:r>
              <w:rPr>
                <w:rFonts w:ascii="宋体" w:hAnsi="宋体" w:eastAsia="宋体"/>
              </w:rPr>
              <w:t>按分行角色过滤可见补录和审核数据；企业碳账户仅辖内查看。</w:t>
            </w:r>
          </w:p>
        </w:tc>
      </w:tr>
      <w:tr>
        <w:tc>
          <w:tcPr>
            <w:tcW w:type="dxa" w:w="3120"/>
            <w:vAlign w:val="center"/>
          </w:tcPr>
          <w:p>
            <w:r>
              <w:rPr>
                <w:rFonts w:ascii="宋体" w:hAnsi="宋体" w:eastAsia="宋体"/>
              </w:rPr>
              <w:t>客户经理</w:t>
            </w:r>
          </w:p>
        </w:tc>
        <w:tc>
          <w:tcPr>
            <w:tcW w:type="dxa" w:w="3120"/>
            <w:vAlign w:val="center"/>
          </w:tcPr>
          <w:p>
            <w:r>
              <w:rPr>
                <w:rFonts w:ascii="宋体" w:hAnsi="宋体" w:eastAsia="宋体"/>
              </w:rPr>
              <w:t>接收补录任务、在线填报企业及项目数据、上传附件、提交审核、查看本人进度。</w:t>
            </w:r>
          </w:p>
        </w:tc>
        <w:tc>
          <w:tcPr>
            <w:tcW w:type="dxa" w:w="3120"/>
            <w:vAlign w:val="center"/>
          </w:tcPr>
          <w:p>
            <w:r>
              <w:rPr>
                <w:rFonts w:ascii="宋体" w:hAnsi="宋体" w:eastAsia="宋体"/>
              </w:rPr>
              <w:t>仅可访问客户经理任务清单和补录填报；不可访问管理端功能。</w:t>
            </w:r>
          </w:p>
        </w:tc>
      </w:tr>
      <w:tr>
        <w:tc>
          <w:tcPr>
            <w:tcW w:type="dxa" w:w="3120"/>
            <w:vAlign w:val="center"/>
          </w:tcPr>
          <w:p>
            <w:r>
              <w:rPr>
                <w:rFonts w:ascii="宋体" w:hAnsi="宋体" w:eastAsia="宋体"/>
              </w:rPr>
              <w:t>系统管理员</w:t>
            </w:r>
          </w:p>
        </w:tc>
        <w:tc>
          <w:tcPr>
            <w:tcW w:type="dxa" w:w="3120"/>
            <w:vAlign w:val="center"/>
          </w:tcPr>
          <w:p>
            <w:r>
              <w:rPr>
                <w:rFonts w:ascii="宋体" w:hAnsi="宋体" w:eastAsia="宋体"/>
              </w:rPr>
              <w:t>因子、行业映射、接口字段等配置维护。</w:t>
            </w:r>
          </w:p>
        </w:tc>
        <w:tc>
          <w:tcPr>
            <w:tcW w:type="dxa" w:w="3120"/>
            <w:vAlign w:val="center"/>
          </w:tcPr>
          <w:p>
            <w:r>
              <w:rPr>
                <w:rFonts w:ascii="宋体" w:hAnsi="宋体" w:eastAsia="宋体"/>
              </w:rPr>
              <w:t>当前原型未单独区分系统管理员角色，相关能力暂由总行/授权角色演示。</w:t>
            </w:r>
          </w:p>
        </w:tc>
      </w:tr>
      <w:tr>
        <w:tc>
          <w:tcPr>
            <w:tcW w:type="dxa" w:w="3120"/>
            <w:vAlign w:val="center"/>
          </w:tcPr>
          <w:p>
            <w:r>
              <w:rPr>
                <w:rFonts w:ascii="宋体" w:hAnsi="宋体" w:eastAsia="宋体"/>
              </w:rPr>
              <w:t>系统自动处理</w:t>
            </w:r>
          </w:p>
        </w:tc>
        <w:tc>
          <w:tcPr>
            <w:tcW w:type="dxa" w:w="3120"/>
            <w:vAlign w:val="center"/>
          </w:tcPr>
          <w:p>
            <w:r>
              <w:rPr>
                <w:rFonts w:ascii="宋体" w:hAnsi="宋体" w:eastAsia="宋体"/>
              </w:rPr>
              <w:t>清单生成、状态流转、经济法直算、排放计算、碳账户归集。</w:t>
            </w:r>
          </w:p>
        </w:tc>
        <w:tc>
          <w:tcPr>
            <w:tcW w:type="dxa" w:w="3120"/>
            <w:vAlign w:val="center"/>
          </w:tcPr>
          <w:p>
            <w:r>
              <w:rPr>
                <w:rFonts w:ascii="宋体" w:hAnsi="宋体" w:eastAsia="宋体"/>
              </w:rPr>
              <w:t>由前端原型 Store 与本地数据模拟。</w:t>
            </w:r>
          </w:p>
        </w:tc>
      </w:tr>
    </w:tbl>
    <w:p>
      <w:pPr>
        <w:pStyle w:val="Heading1"/>
      </w:pPr>
      <w:r>
        <w:rPr>
          <w:rFonts w:ascii="黑体" w:hAnsi="黑体" w:eastAsia="黑体"/>
        </w:rPr>
        <w:t>3 需求规定</w:t>
      </w:r>
    </w:p>
    <w:p>
      <w:pPr>
        <w:pStyle w:val="Heading2"/>
      </w:pPr>
      <w:r>
        <w:rPr>
          <w:rFonts w:ascii="黑体" w:hAnsi="黑体" w:eastAsia="黑体"/>
        </w:rPr>
        <w:t>3.1 功能需求</w:t>
      </w:r>
    </w:p>
    <w:p>
      <w:pPr>
        <w:pStyle w:val="Heading3"/>
      </w:pPr>
      <w:r>
        <w:rPr>
          <w:rFonts w:ascii="黑体" w:hAnsi="黑体" w:eastAsia="黑体"/>
        </w:rPr>
        <w:t>3.1.1 核算任务管理</w:t>
      </w:r>
    </w:p>
    <w:p>
      <w:r>
        <w:rPr>
          <w:rFonts w:ascii="宋体" w:hAnsi="宋体" w:eastAsia="宋体"/>
          <w:sz w:val="21"/>
        </w:rPr>
        <w:t>核算任务管理是投融资碳核算主流程入口，覆盖范畴确定、清单识别、对象边界、数据采集、排放计算、生成报告六个步骤。</w:t>
      </w:r>
    </w:p>
    <w:p>
      <w:pPr>
        <w:pStyle w:val="Heading4"/>
      </w:pPr>
      <w:r>
        <w:rPr>
          <w:rFonts w:ascii="黑体" w:hAnsi="黑体" w:eastAsia="黑体"/>
        </w:rPr>
        <w:t>核算任务列表查询</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CR21093-A_ICC_GN0101</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核算任务列表查询</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查询当前用户有权限访问的核算任务，展示任务名称、核算年度、行业范围、截止日期和进度。</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用户已登录并具备核算任务访问权限。</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任务名称、核算年度、分页参数。</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进入核算任务管理；系统按角色过滤任务；展示列表及操作入口。</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任务列表、分页信息。</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任务列表页，包含新建任务、编辑、查看、删除入口。</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客户经理不可访问该菜单；总行和分行按宿主权限可访问。</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任务实体包含 id、name、year、industryScope、workflowStep、progress、initiatorOrg 等字段。</w:t>
            </w:r>
          </w:p>
        </w:tc>
      </w:tr>
    </w:tbl>
    <w:p>
      <w:pPr>
        <w:pStyle w:val="Heading4"/>
      </w:pPr>
      <w:r>
        <w:rPr>
          <w:rFonts w:ascii="黑体" w:hAnsi="黑体" w:eastAsia="黑体"/>
        </w:rPr>
        <w:t>新建核算任务</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CR21093-A_ICC_GN0102</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新建核算任务</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创建投融资碳核算任务并启动流程。</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总行或分行角色登录；当前非查看模式。</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任务名称、核算年度、行业范围、余额口径、组织范围、输出目标、截止日期、发起组织等。</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填写表单；校验必填项；保存并启动；系统生成任务并跳转候选清单。</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新建任务记录。</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新建任务页，六步流程条第 1 步。</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分行发起任务需要带发起分行；总行发起任务审核路径不同于分行发起任务。</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workflowStep 初始进入清单识别；currentTaskId 指向新任务。</w:t>
            </w:r>
          </w:p>
        </w:tc>
      </w:tr>
    </w:tbl>
    <w:p>
      <w:pPr>
        <w:pStyle w:val="Heading4"/>
      </w:pPr>
      <w:r>
        <w:rPr>
          <w:rFonts w:ascii="黑体" w:hAnsi="黑体" w:eastAsia="黑体"/>
        </w:rPr>
        <w:t>编辑与查看核算任务</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CR21093-A_ICC_GN0103</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编辑与查看核算任务</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支持修改未锁定或可编辑任务配置，并支持查看模式只读浏览。</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任务存在；用户具备权限。</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 ID、表单字段、view 参数。</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加载任务详情；编辑模式允许保存；查看模式禁用输入与操作按钮。</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更新后的任务或只读详情。</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编辑/查看页复用任务表单和流程条。</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任务进入后续环节后，哪些字段可修改需业务确认。</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修改需记录操作人和时间；当前原型为本地状态。</w:t>
            </w:r>
          </w:p>
        </w:tc>
      </w:tr>
    </w:tbl>
    <w:p>
      <w:pPr>
        <w:pStyle w:val="Heading3"/>
      </w:pPr>
      <w:r>
        <w:rPr>
          <w:rFonts w:ascii="黑体" w:hAnsi="黑体" w:eastAsia="黑体"/>
        </w:rPr>
        <w:t>3.1.2 接口管理与信贷台账同步</w:t>
      </w:r>
    </w:p>
    <w:p>
      <w:pPr>
        <w:pStyle w:val="Heading4"/>
      </w:pPr>
      <w:r>
        <w:rPr>
          <w:rFonts w:ascii="黑体" w:hAnsi="黑体" w:eastAsia="黑体"/>
        </w:rPr>
        <w:t>接口批次查询</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CR21093-A_ICC_GN0201</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接口批次查询</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查询信贷台账月度批次，包括批次号、数据月份、推送时间、记录数、状态和来源。</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总行或授权分行角色登录。</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分页参数。</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进入接口管理；系统读取批次列表；展示成功/失败状态；失败批次可重试。</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接口批次列表。</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接口管理列表页。</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客户经理不可访问接口管理。</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批次状态包含 success、failed；接口数据与业务主数据隔离，Store.reset 不清空接口批次。</w:t>
            </w:r>
          </w:p>
        </w:tc>
      </w:tr>
    </w:tbl>
    <w:p>
      <w:pPr>
        <w:pStyle w:val="Heading4"/>
      </w:pPr>
      <w:r>
        <w:rPr>
          <w:rFonts w:ascii="黑体" w:hAnsi="黑体" w:eastAsia="黑体"/>
        </w:rPr>
        <w:t>查看台账批次明细</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CR21093-A_ICC_GN0202</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查看台账批次明细</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查看单个接口批次内的台账预览字段。</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批次存在。</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批次 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点击查看；系统按批次生成或读取预览数据；弹窗展示前若干笔台账。</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台账预览列表。</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弹窗表格，字段与候选清单台账字段一致。</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仅作预览，不直接锁定清单。</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字段包括一级分行、经办行、客户名称、业务品种、核算类型、贷款账号、金额、日期、主体类型、行业、余额、营收、经理。</w:t>
            </w:r>
          </w:p>
        </w:tc>
      </w:tr>
    </w:tbl>
    <w:p>
      <w:pPr>
        <w:pStyle w:val="Heading4"/>
      </w:pPr>
      <w:r>
        <w:rPr>
          <w:rFonts w:ascii="黑体" w:hAnsi="黑体" w:eastAsia="黑体"/>
        </w:rPr>
        <w:t>失败批次重新获取</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CR21093-A_ICC_GN0203</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失败批次重新获取</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对失败状态的接口批次执行重新获取。</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批次状态为 failed。</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批次 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点击重新获取；系统调用或模拟接口重试；更新状态为 success。</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更新后的接口批次。</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接口管理操作列。</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生产接口的超时、重试次数、错误码需技术方案确认。</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记录 retryAt、status、recordCount 等。</w:t>
            </w:r>
          </w:p>
        </w:tc>
      </w:tr>
    </w:tbl>
    <w:p>
      <w:pPr>
        <w:pStyle w:val="Heading3"/>
      </w:pPr>
      <w:r>
        <w:rPr>
          <w:rFonts w:ascii="黑体" w:hAnsi="黑体" w:eastAsia="黑体"/>
        </w:rPr>
        <w:t>3.1.3 清单识别</w:t>
      </w:r>
    </w:p>
    <w:p>
      <w:pPr>
        <w:pStyle w:val="Heading4"/>
      </w:pPr>
      <w:r>
        <w:rPr>
          <w:rFonts w:ascii="黑体" w:hAnsi="黑体" w:eastAsia="黑体"/>
        </w:rPr>
        <w:t>同步候选业务清单</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CR21093-A_ICC_GN0301</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同步候选业务清单</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按核算年度从接口台账批次生成候选业务清单。</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任务存在；接口管理中存在该年度成功批次。</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 ID、核算年度。</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点击从接口同步台账；系统生成候选记录并写入同步时间、批次数量、记录数；展示同步提示。</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候选业务清单。</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候选业务清单页工具栏。</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若无成功批次需提示先完成接口获取。</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候选记录包含 productType、bizType、accountingType、projectDetails、included、excludeReason 等。</w:t>
            </w:r>
          </w:p>
        </w:tc>
      </w:tr>
    </w:tbl>
    <w:p>
      <w:pPr>
        <w:pStyle w:val="Heading4"/>
      </w:pPr>
      <w:r>
        <w:rPr>
          <w:rFonts w:ascii="黑体" w:hAnsi="黑体" w:eastAsia="黑体"/>
        </w:rPr>
        <w:t>候选清单筛选与勾选</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CR21093-A_ICC_GN0302</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候选清单筛选与勾选</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按业务品种、贷款主体类型、行业、余额等筛选候选数据，并勾选拟纳入业务。</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已完成台账同步。</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筛选条件；勾选状态。</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设置条件后查询；系统刷新列表；用户勾选/取消拟纳入；表头支持全选当前列表。</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过滤后的候选清单及拟纳入数量。</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候选清单筛选面板及表格。</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当前默认排除低余额、小微、个人/个体/农户、境外、非高碳行业等。</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included 字段决定是否生成正式清单。</w:t>
            </w:r>
          </w:p>
        </w:tc>
      </w:tr>
    </w:tbl>
    <w:p>
      <w:pPr>
        <w:pStyle w:val="Heading4"/>
      </w:pPr>
      <w:r>
        <w:rPr>
          <w:rFonts w:ascii="黑体" w:hAnsi="黑体" w:eastAsia="黑体"/>
        </w:rPr>
        <w:t>核算类型识别</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CR21093-A_ICC_GN0303</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核算类型识别</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在候选清单和正式清单中展示核算类型。</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候选或正式记录存在。</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业务品种、bizType、projectDetails、projectInfoAvailable。</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先按业务品种判断项目类/非项目类；非项目类展示非项目；项目类有项目信息则展示项目（以项目方式计算）；项目类无项目信息则展示项目（计算方法待定）；客户经理提交不可提供项目信息后展示项目（以非项目方式计算）。</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核算类型展示值。</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业务品种后新增核算类型列。</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项目类业务品种完整映射待业务侧提供；当前原型仅按有限业务品种判断。</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accountingType 枚举：non_project、project_as_project、project_pending、project_as_non_project。</w:t>
            </w:r>
          </w:p>
        </w:tc>
      </w:tr>
    </w:tbl>
    <w:p>
      <w:pPr>
        <w:pStyle w:val="Heading4"/>
      </w:pPr>
      <w:r>
        <w:rPr>
          <w:rFonts w:ascii="黑体" w:hAnsi="黑体" w:eastAsia="黑体"/>
        </w:rPr>
        <w:t>项目明细展开</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CR21093-A_ICC_GN0304</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项目明细展开</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项目类业务在列表中可展开查看接口同步或补录的项目信息。</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记录为项目类且存在 projectDetails。</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候选/正式记录 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点击一级分行前的展开按钮；系统显示项目明细子表；再次点击收起。</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项目明细列表。</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候选/正式清单行内展开区域。</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无项目信息的项目类不展示明细，核算类型为计算方法待定。</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项目明细字段包括项目号、项目名称、省份、行业、客户号、客户名称、信用代码、四级行业代码、项目贷款余额、项目收入、项目总投资。</w:t>
            </w:r>
          </w:p>
        </w:tc>
      </w:tr>
    </w:tbl>
    <w:p>
      <w:pPr>
        <w:pStyle w:val="Heading4"/>
      </w:pPr>
      <w:r>
        <w:rPr>
          <w:rFonts w:ascii="黑体" w:hAnsi="黑体" w:eastAsia="黑体"/>
        </w:rPr>
        <w:t>生成正式清单</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CR21093-A_ICC_GN0305</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生成正式清单</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将已勾选候选业务生成正式清单。</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至少存在 included=true 的候选记录。</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 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点击生成正式清单；系统按候选记录创建 formal 记录；跳转正式清单确认页。</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正式清单。</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候选清单工具栏。</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同一候选不重复生成正式清单。</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formal 记录继承候选的台账字段、核算类型、项目明细。</w:t>
            </w:r>
          </w:p>
        </w:tc>
      </w:tr>
    </w:tbl>
    <w:p>
      <w:pPr>
        <w:pStyle w:val="Heading3"/>
      </w:pPr>
      <w:r>
        <w:rPr>
          <w:rFonts w:ascii="黑体" w:hAnsi="黑体" w:eastAsia="黑体"/>
        </w:rPr>
        <w:t>3.1.4 对象边界与正式清单确认</w:t>
      </w:r>
    </w:p>
    <w:p>
      <w:pPr>
        <w:pStyle w:val="Heading4"/>
      </w:pPr>
      <w:r>
        <w:rPr>
          <w:rFonts w:ascii="黑体" w:hAnsi="黑体" w:eastAsia="黑体"/>
        </w:rPr>
        <w:t>正式清单查询</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CR21093-A_ICC_GN0401</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正式清单查询</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展示正式待核算业务清单，支持查看状态与项目明细。</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已生成正式清单。</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 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加载 formalList；展示业务台账字段、核算类型、状态。</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正式清单列表。</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正式清单确认页。</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无正式清单时提示先生成正式清单。</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status=draft/confirmed。</w:t>
            </w:r>
          </w:p>
        </w:tc>
      </w:tr>
    </w:tbl>
    <w:p>
      <w:pPr>
        <w:pStyle w:val="Heading4"/>
      </w:pPr>
      <w:r>
        <w:rPr>
          <w:rFonts w:ascii="黑体" w:hAnsi="黑体" w:eastAsia="黑体"/>
        </w:rPr>
        <w:t>正式清单锁定</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CR21093-A_ICC_GN0402</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正式清单锁定</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确认并锁定正式清单，进入数据采集。</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正式清单存在；非查看模式。</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勾选的正式清单 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点击确认锁定；系统将状态改为 confirmed；任务进入数据采集步骤。</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锁定后的正式清单。</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正式清单页确认锁定按钮。</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锁定后不可在普通页面直接回退；变更须通过审核退回或管理员驳回等方式处理。</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lockedAt、status。</w:t>
            </w:r>
          </w:p>
        </w:tc>
      </w:tr>
    </w:tbl>
    <w:p>
      <w:pPr>
        <w:pStyle w:val="Heading4"/>
      </w:pPr>
      <w:r>
        <w:rPr>
          <w:rFonts w:ascii="黑体" w:hAnsi="黑体" w:eastAsia="黑体"/>
        </w:rPr>
        <w:t>核算对象与边界浏览</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CR21093-A_ICC_GN0403</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核算对象与边界浏览</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浏览每笔业务的核算对象、边界、周期和边界说明。</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正式清单存在。</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 ID、分页参数。</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进入对象边界页；系统展示对象类型、项目/设施、边界、控制法、周期、状态。</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对象边界列表。</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对象边界页。</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项目类业务核算项目边界；非项目类核算融资主体运营边界。</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objectType、boundary、period、controlApproach。</w:t>
            </w:r>
          </w:p>
        </w:tc>
      </w:tr>
    </w:tbl>
    <w:p>
      <w:pPr>
        <w:pStyle w:val="Heading3"/>
      </w:pPr>
      <w:r>
        <w:rPr>
          <w:rFonts w:ascii="黑体" w:hAnsi="黑体" w:eastAsia="黑体"/>
        </w:rPr>
        <w:t>3.1.5 数据采集</w:t>
      </w:r>
    </w:p>
    <w:p>
      <w:pPr>
        <w:pStyle w:val="Heading4"/>
      </w:pPr>
      <w:r>
        <w:rPr>
          <w:rFonts w:ascii="黑体" w:hAnsi="黑体" w:eastAsia="黑体"/>
        </w:rPr>
        <w:t>数据采集台账查询</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CR21093-A_ICC_GN0501</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数据采集台账查询</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查询已锁定正式清单的数据采集进度。</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正式清单已锁定。</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客户名称、收数方式、状态等筛选条件。</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进入数据采集页；系统关联 formal、supplement、calculation；展示采集进度与主体排放。</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数据采集台账及统计卡片。</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数据采集页，贷款类型后展示核算类型列。</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客户经理不可访问该页。</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状态包括待锁定、未派发、待直算、已直算、待填报、填报中、待审核、已完成、已退回。</w:t>
            </w:r>
          </w:p>
        </w:tc>
      </w:tr>
    </w:tbl>
    <w:p>
      <w:pPr>
        <w:pStyle w:val="Heading4"/>
      </w:pPr>
      <w:r>
        <w:rPr>
          <w:rFonts w:ascii="黑体" w:hAnsi="黑体" w:eastAsia="黑体"/>
        </w:rPr>
        <w:t>发放补录任务</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CR21093-A_ICC_GN0502</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发放补录任务</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为正式清单记录创建客户经理补录任务。</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记录已锁定且未派发补录。</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勾选的 formalId。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勾选记录；点击发放补录任务；系统创建 supplement，写入客户经理、分行、截止日期、核算类型及项目明细。</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补录任务。</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数据采集页行选择和发放按钮。</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已直算记录仍可补录；同一 formal 不重复派发。</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supplement.status=pending，auditStage=pending_fill。</w:t>
            </w:r>
          </w:p>
        </w:tc>
      </w:tr>
    </w:tbl>
    <w:p>
      <w:pPr>
        <w:pStyle w:val="Heading4"/>
      </w:pPr>
      <w:r>
        <w:rPr>
          <w:rFonts w:ascii="黑体" w:hAnsi="黑体" w:eastAsia="黑体"/>
        </w:rPr>
        <w:t>经济法直算</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CR21093-A_ICC_GN0503</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经济法直算</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对收数方式为经济法直算的记录批量计算主体排放和归因排放。</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正式清单已锁定；collectMode=economy_direct；尚未直算。</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 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点击经济法直算；系统按营业收入或资产规模乘行业因子计算主体排放，并计算归因排放；写入完成时间。</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直算结果。</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数据采集页经济法直算按钮。</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必收数业务不走经济法直算。</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economyDirectStatus=done；entityEmission、attributedEmission。</w:t>
            </w:r>
          </w:p>
        </w:tc>
      </w:tr>
    </w:tbl>
    <w:p>
      <w:pPr>
        <w:pStyle w:val="Heading4"/>
      </w:pPr>
      <w:r>
        <w:rPr>
          <w:rFonts w:ascii="黑体" w:hAnsi="黑体" w:eastAsia="黑体"/>
        </w:rPr>
        <w:t>数据采集完成提交</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CR21093-A_ICC_GN0504</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数据采集完成提交</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当所有已锁定记录均有主体排放后，将任务推进到排放计算。</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所有正式清单记录已完成补录审核或直算，且主体排放不为空。</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 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点击一键提交数据；系统校验采集完成；生成或同步计算数据；进入排放计算页。</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采集完成状态。</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数据采集页一键提交数据按钮。</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存在缺失主体排放时按钮禁用；可使用数据为0兜底。</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任务 workflowStep 更新为排放计算。</w:t>
            </w:r>
          </w:p>
        </w:tc>
      </w:tr>
    </w:tbl>
    <w:p>
      <w:pPr>
        <w:pStyle w:val="Heading4"/>
      </w:pPr>
      <w:r>
        <w:rPr>
          <w:rFonts w:ascii="黑体" w:hAnsi="黑体" w:eastAsia="黑体"/>
        </w:rPr>
        <w:t>管理员驳回已通过补录</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CR21093-A_ICC_GN0505</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管理员驳回已通过补录</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管理员可驳回已审核通过的补录，退回客户经理重填。</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补录记录已通过；用户具备管理员驳回权限。</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补录 ID、驳回原因。</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点击驳回；输入原因；系统将补录退回，作废原通过审批记录。</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退回状态及原因。</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数据采集页操作列。</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总行可驳回；分行发起任务下分行可驳回。</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rejectReason、approval voided。</w:t>
            </w:r>
          </w:p>
        </w:tc>
      </w:tr>
    </w:tbl>
    <w:p>
      <w:pPr>
        <w:pStyle w:val="Heading3"/>
      </w:pPr>
      <w:r>
        <w:rPr>
          <w:rFonts w:ascii="黑体" w:hAnsi="黑体" w:eastAsia="黑体"/>
        </w:rPr>
        <w:t>3.1.6 数据补录</w:t>
      </w:r>
    </w:p>
    <w:p>
      <w:pPr>
        <w:pStyle w:val="Heading4"/>
      </w:pPr>
      <w:r>
        <w:rPr>
          <w:rFonts w:ascii="黑体" w:hAnsi="黑体" w:eastAsia="黑体"/>
        </w:rPr>
        <w:t>客户经理任务清单</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CR21093-A_ICC_GN0601</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客户经理任务清单</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客户经理查看本人补录任务和状态。</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当前角色为客户经理。</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 ID、当前用户。</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进入客户经理任务清单；系统按 manager 过滤；展示客户、截止、状态、操作。</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本人补录任务列表。</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客户经理任务清单页。</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客户经理只见本人任务；不展示缺口字段列。</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状态展示：待填报、填报中、待提交、待审核、已通过、已退回。</w:t>
            </w:r>
          </w:p>
        </w:tc>
      </w:tr>
    </w:tbl>
    <w:p>
      <w:pPr>
        <w:pStyle w:val="Heading4"/>
      </w:pPr>
      <w:r>
        <w:rPr>
          <w:rFonts w:ascii="黑体" w:hAnsi="黑体" w:eastAsia="黑体"/>
        </w:rPr>
        <w:t>企业基本信息补录</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CR21093-A_ICC_GN0602</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企业基本信息补录</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补录客户名称、行业、业务类型、总资产、营业收入、投融资余额等基础信息。</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补录任务处于待填报、填报中或退回状态。</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基础字段、业务类型。</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客户经理进入填报页；系统展示企业基本信息卡片；客户经理填写可编辑字段。</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基础信息补录结果。</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碳排放信息采集页。</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业务类型由正式清单 bizType 决定，客户经理不可修改。</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totalAssets、revenue、avgLoanBalance。</w:t>
            </w:r>
          </w:p>
        </w:tc>
      </w:tr>
    </w:tbl>
    <w:p>
      <w:pPr>
        <w:pStyle w:val="Heading4"/>
      </w:pPr>
      <w:r>
        <w:rPr>
          <w:rFonts w:ascii="黑体" w:hAnsi="黑体" w:eastAsia="黑体"/>
        </w:rPr>
        <w:t>项目类项目信息补录</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CR21093-A_ICC_GN0603</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项目类项目信息补录</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项目类业务在客户经理补录时选择是否可提供项目信息，并按选择联动核算类型。</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业务类型为项目类。</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是否可提供项目信息；项目号、项目名称、省份、行业、客户号、信用代码、四级行业代码、项目余额、收入、总投资等。</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若选择“是”，页面展开项目信息填报区并保存 projectDetails；提交后核算类型为项目（以项目方式计算）。若选择“否”，不填写项目字段；提交补录后核算类型变为项目（以非项目方式计算）。</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项目信息或不可提供标记。</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企业基本信息卡片内联动展示项目字段。</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若接口已同步项目信息，则默认项目（以项目方式计算）。</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projectInfoAvailable、projectInfo、projectDetails、accountingType。</w:t>
            </w:r>
          </w:p>
        </w:tc>
      </w:tr>
    </w:tbl>
    <w:p>
      <w:pPr>
        <w:pStyle w:val="Heading4"/>
      </w:pPr>
      <w:r>
        <w:rPr>
          <w:rFonts w:ascii="黑体" w:hAnsi="黑体" w:eastAsia="黑体"/>
        </w:rPr>
        <w:t>排放方法数据填报</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CR21093-A_ICC_GN0604</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排放方法数据填报</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按五类方法采集排放数据。</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补录任务可编辑；方法 Tab 可见。</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报告法、能源法、产品法、经济活动法、其他计算法对应字段及附件。</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客户经理选择方法 Tab；填写对应字段；系统暂存或提交；提交时根据已填数据匹配 methodId 和质量等级。</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排放数据及方法。</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排放数据（择一填报）卡片。</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方法优先级：报告法、能源法、产品法、经济活动法、其他计算法；民航等行业产品法支持情况由模板控制。</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fieldData.report/energy/product/other；reportedEmission、energyTotalEmission、productTotalEmission、economyValue 等。</w:t>
            </w:r>
          </w:p>
        </w:tc>
      </w:tr>
    </w:tbl>
    <w:p>
      <w:pPr>
        <w:pStyle w:val="Heading4"/>
      </w:pPr>
      <w:r>
        <w:rPr>
          <w:rFonts w:ascii="黑体" w:hAnsi="黑体" w:eastAsia="黑体"/>
        </w:rPr>
        <w:t>附件上传</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CR21093-A_ICC_GN0605</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附件上传</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支持为填报方法上传佐证材料。</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补录任务可编辑。</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PDF、Word、Excel、图片附件。</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选择文件；系统校验格式、大小、数量；保存至当前方法附件列表。</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附件列表。</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各方法 Tab 的报告附件区。</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每个方法最多 3 个附件，单文件不超过 20MB；当前原型仅保存在浏览器本地数据中。</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attachments: name、size、uploadedAt。</w:t>
            </w:r>
          </w:p>
        </w:tc>
      </w:tr>
    </w:tbl>
    <w:p>
      <w:pPr>
        <w:pStyle w:val="Heading4"/>
      </w:pPr>
      <w:r>
        <w:rPr>
          <w:rFonts w:ascii="黑体" w:hAnsi="黑体" w:eastAsia="黑体"/>
        </w:rPr>
        <w:t>暂存与提交补录</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CR21093-A_ICC_GN0606</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暂存与提交补录</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支持客户经理暂存或提交补录数据。</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补录任务可编辑。</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当前表单字段和 active 方法。</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点击暂存时保存并保持填报中；点击提交数据时保存、标记完成并自动提交审核。</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暂存成功或进入待审核。</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底部暂存、提交数据按钮。</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提交审核后客户经理不可再编辑，退回后可重新编辑。</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status=in_progress 或 completed；auditStage=branch_review/hq_review。</w:t>
            </w:r>
          </w:p>
        </w:tc>
      </w:tr>
    </w:tbl>
    <w:p>
      <w:pPr>
        <w:pStyle w:val="Heading3"/>
      </w:pPr>
      <w:r>
        <w:rPr>
          <w:rFonts w:ascii="黑体" w:hAnsi="黑体" w:eastAsia="黑体"/>
        </w:rPr>
        <w:t>3.1.7 数据审核</w:t>
      </w:r>
    </w:p>
    <w:p>
      <w:pPr>
        <w:pStyle w:val="Heading4"/>
      </w:pPr>
      <w:r>
        <w:rPr>
          <w:rFonts w:ascii="黑体" w:hAnsi="黑体" w:eastAsia="黑体"/>
        </w:rPr>
        <w:t>审核列表查询</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CR21093-A_ICC_GN0701</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审核列表查询</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总行、分行、客户经理按角色查看补录审批记录。</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存在提交审核的补录。</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 ID、角色。</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进入数据审核页；系统按角色过滤审批记录；显示当前环节、提交人、下一审批人和操作。</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审批列表。</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数据审核页。</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总行看总行待审或已审；分行看辖内分行审核；客户经理仅看本人提交进度。</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approvals.reviewLevel=submit/branch/hq/admin。</w:t>
            </w:r>
          </w:p>
        </w:tc>
      </w:tr>
    </w:tbl>
    <w:p>
      <w:pPr>
        <w:pStyle w:val="Heading4"/>
      </w:pPr>
      <w:r>
        <w:rPr>
          <w:rFonts w:ascii="黑体" w:hAnsi="黑体" w:eastAsia="黑体"/>
        </w:rPr>
        <w:t>审核详情查看</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CR21093-A_ICC_GN0702</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审核详情查看</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审核人查看补录填报内容及审批流程。</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审批记录存在。</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approvalId、mode。</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点击审核或查看；进入审批详情；系统只读渲染补录页和审批时间线。</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审核详情。</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审批详情页，含填报内容和审批流程 Tab。</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只读查看，不允许在审核详情修改补录数据。</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关联 supplement、approval。</w:t>
            </w:r>
          </w:p>
        </w:tc>
      </w:tr>
    </w:tbl>
    <w:p>
      <w:pPr>
        <w:pStyle w:val="Heading4"/>
      </w:pPr>
      <w:r>
        <w:rPr>
          <w:rFonts w:ascii="黑体" w:hAnsi="黑体" w:eastAsia="黑体"/>
        </w:rPr>
        <w:t>审核通过</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CR21093-A_ICC_GN0703</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审核通过</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审核人通过补录数据。</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审批记录状态 pending；当前角色可审核。</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approvalId。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点击审核通过；系统更新当前审批记录；分行通过后若为总行发起任务则生成总行终审，否则直接通过；总行通过后补录 auditStage=approved。</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审核通过状态。</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审批详情页按钮。</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总行发起任务：分行初审→总行终审；分行发起任务：分行审核通过即完成。</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branchReviewStatus、hqReviewStatus、approvalStatus。</w:t>
            </w:r>
          </w:p>
        </w:tc>
      </w:tr>
    </w:tbl>
    <w:p>
      <w:pPr>
        <w:pStyle w:val="Heading4"/>
      </w:pPr>
      <w:r>
        <w:rPr>
          <w:rFonts w:ascii="黑体" w:hAnsi="黑体" w:eastAsia="黑体"/>
        </w:rPr>
        <w:t>审核不通过</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CR21093-A_ICC_GN0704</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审核不通过</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审核人驳回补录数据并退回客户经理重填。</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审批记录状态 pending；当前角色可审核。</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approvalId、驳回原因。</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点击审核不通过；填写原因；系统更新审批记录为 rejected，补录 status=returned。</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退回状态。</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审批动作确认弹窗。</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驳回原因必填。</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rejectReason、status=returned、auditStage=pending_fill。</w:t>
            </w:r>
          </w:p>
        </w:tc>
      </w:tr>
    </w:tbl>
    <w:p>
      <w:pPr>
        <w:pStyle w:val="Heading3"/>
      </w:pPr>
      <w:r>
        <w:rPr>
          <w:rFonts w:ascii="黑体" w:hAnsi="黑体" w:eastAsia="黑体"/>
        </w:rPr>
        <w:t>3.1.8 排放计算与结果确认</w:t>
      </w:r>
    </w:p>
    <w:p>
      <w:pPr>
        <w:pStyle w:val="Heading4"/>
      </w:pPr>
      <w:r>
        <w:rPr>
          <w:rFonts w:ascii="黑体" w:hAnsi="黑体" w:eastAsia="黑体"/>
        </w:rPr>
        <w:t>排放计算清单查询</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CR21093-A_ICC_GN0801</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排放计算清单查询</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查询每笔正式清单对应的计算结果。</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数据采集完成或已有计算结果。</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 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进入碳排放计算页；系统展示分行业归因排放和计算清单。</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计算明细。</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碳排放计算页。</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未完成数据采集不可进入有效计算。</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calculation 包含 entityEmission、attributedEmission、methodId、qualityGrade。</w:t>
            </w:r>
          </w:p>
        </w:tc>
      </w:tr>
    </w:tbl>
    <w:p>
      <w:pPr>
        <w:pStyle w:val="Heading4"/>
      </w:pPr>
      <w:r>
        <w:rPr>
          <w:rFonts w:ascii="黑体" w:hAnsi="黑体" w:eastAsia="黑体"/>
        </w:rPr>
        <w:t>主体排放与归因排放计算</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CR21093-A_ICC_GN0802</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主体排放与归因排放计算</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根据补录或直算数据计算主体排放和归因排放。</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补录审核通过或直算完成。</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方法数据、余额、资产/项目总投资、行业因子。</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系统匹配方法；计算主体排放；非项目按主体排放×余额/总资产计算归因；项目按项目排放×余额/项目总投资计算归因；其他法按余额×行业因子计算归因。</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计算结果。</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计算页面自动展示。</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当前原型中能源法、产品法为演示估算，正式公式需以指南和业务确认版为准。</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methodId、entityEmission、attributedEmission。</w:t>
            </w:r>
          </w:p>
        </w:tc>
      </w:tr>
    </w:tbl>
    <w:p>
      <w:pPr>
        <w:pStyle w:val="Heading4"/>
      </w:pPr>
      <w:r>
        <w:rPr>
          <w:rFonts w:ascii="黑体" w:hAnsi="黑体" w:eastAsia="黑体"/>
        </w:rPr>
        <w:t>确认计算结果</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CR21093-A_ICC_GN0803</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确认计算结果</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管理员确认计算结果并推进到生成报告。</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计算结果存在且数据采集完成。</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 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点击确认结果；系统写 resultsConfirmed；进入生成报告；同步归集至企业碳账户。</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确认状态、碳账户排放记录。</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碳排放计算页确认结果按钮。</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结果确认是碳账户归集前置条件。</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resultsConfirmed、resultsConfirmedAt。</w:t>
            </w:r>
          </w:p>
        </w:tc>
      </w:tr>
    </w:tbl>
    <w:p>
      <w:pPr>
        <w:pStyle w:val="Heading3"/>
      </w:pPr>
      <w:r>
        <w:rPr>
          <w:rFonts w:ascii="黑体" w:hAnsi="黑体" w:eastAsia="黑体"/>
        </w:rPr>
        <w:t>3.1.9 生成报告</w:t>
      </w:r>
    </w:p>
    <w:p>
      <w:pPr>
        <w:pStyle w:val="Heading4"/>
      </w:pPr>
      <w:r>
        <w:rPr>
          <w:rFonts w:ascii="黑体" w:hAnsi="黑体" w:eastAsia="黑体"/>
        </w:rPr>
        <w:t>报告导出</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CR21093-A_ICC_GN0901</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报告导出</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按范围、模板、格式生成报告导出记录。</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计算结果已确认。</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导出范围、报表模板、格式。</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选择范围/模板/格式；点击导出；系统创建报告记录并计算记录数、总排放和文件大小。</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报告记录。</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生成报告页。</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范围包括监管八大、管理扩展、全量数据；当前文件内容为演示下载。</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reports：name、scope、template、format、status、recordCount、totalEmission。</w:t>
            </w:r>
          </w:p>
        </w:tc>
      </w:tr>
    </w:tbl>
    <w:p>
      <w:pPr>
        <w:pStyle w:val="Heading4"/>
      </w:pPr>
      <w:r>
        <w:rPr>
          <w:rFonts w:ascii="黑体" w:hAnsi="黑体" w:eastAsia="黑体"/>
        </w:rPr>
        <w:t>历史导出记录查询与下载</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CR21093-A_ICC_GN0902</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历史导出记录查询与下载</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查看并下载历史导出文件。</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存在报告记录。</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 ID、report 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进入生成报告页；展示历史导出记录；点击下载触发文件下载。</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报告文件。</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历史导出记录表。</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失败或生成中状态不可下载。</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downloadReportFile 按格式生成 doc/xlsx 演示文件。</w:t>
            </w:r>
          </w:p>
        </w:tc>
      </w:tr>
    </w:tbl>
    <w:p>
      <w:pPr>
        <w:pStyle w:val="Heading3"/>
      </w:pPr>
      <w:r>
        <w:rPr>
          <w:rFonts w:ascii="黑体" w:hAnsi="黑体" w:eastAsia="黑体"/>
        </w:rPr>
        <w:t>3.1.10 排放因子库</w:t>
      </w:r>
    </w:p>
    <w:p>
      <w:pPr>
        <w:pStyle w:val="Heading4"/>
      </w:pPr>
      <w:r>
        <w:rPr>
          <w:rFonts w:ascii="黑体" w:hAnsi="黑体" w:eastAsia="黑体"/>
        </w:rPr>
        <w:t>因子查询</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CR21093-A_ICC_GN1001</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因子查询</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查询内置和自定义排放因子。</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总行或授权角色登录。</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计算方法、行业、能源品类、关键词。</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进入排放因子库；设置筛选条件；系统分页展示因子列表。</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因子列表。</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排放因子库页。</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客户经理不可访问。</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factor 包含 methodId、industryMajor、unit、value、sourceSheet、isBuiltin、status。</w:t>
            </w:r>
          </w:p>
        </w:tc>
      </w:tr>
    </w:tbl>
    <w:p>
      <w:pPr>
        <w:pStyle w:val="Heading4"/>
      </w:pPr>
      <w:r>
        <w:rPr>
          <w:rFonts w:ascii="黑体" w:hAnsi="黑体" w:eastAsia="黑体"/>
        </w:rPr>
        <w:t>自定义因子维护</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CR21093-A_ICC_GN1002</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自定义因子维护</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支持新增、编辑、删除自定义因子。</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用户具备维护权限。</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因子表单字段。</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新增或编辑因子；保存；删除时二次确认。</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自定义因子。</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新增/编辑因子页。</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内置因子不可直接编辑和删除，可复制为自定义。</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isBuiltin=false 可编辑；内置 FACTORS_GUIDE 保留。</w:t>
            </w:r>
          </w:p>
        </w:tc>
      </w:tr>
    </w:tbl>
    <w:p>
      <w:pPr>
        <w:pStyle w:val="Heading4"/>
      </w:pPr>
      <w:r>
        <w:rPr>
          <w:rFonts w:ascii="黑体" w:hAnsi="黑体" w:eastAsia="黑体"/>
        </w:rPr>
        <w:t>复制内置因子为自定义</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CR21093-A_ICC_GN1003</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复制内置因子为自定义</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将内置因子复制为可维护的自定义因子。</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内置因子存在。</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factor 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点击复制为自定义；系统带入字段到新增页；保存后生成自定义因子。</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自定义因子副本。</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内置因子详情/编辑页。</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复制后应明确来源说明。</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sourceNote、isBuiltin=false。</w:t>
            </w:r>
          </w:p>
        </w:tc>
      </w:tr>
    </w:tbl>
    <w:p>
      <w:pPr>
        <w:pStyle w:val="Heading3"/>
      </w:pPr>
      <w:r>
        <w:rPr>
          <w:rFonts w:ascii="黑体" w:hAnsi="黑体" w:eastAsia="黑体"/>
        </w:rPr>
        <w:t>3.1.11 企业碳账户</w:t>
      </w:r>
    </w:p>
    <w:p>
      <w:r>
        <w:rPr>
          <w:rFonts w:ascii="宋体" w:hAnsi="宋体" w:eastAsia="宋体"/>
          <w:sz w:val="21"/>
        </w:rPr>
        <w:t>企业碳账户为当前原型中与投融资碳核算结果衔接的结果沉淀模块。</w:t>
      </w:r>
    </w:p>
    <w:p>
      <w:pPr>
        <w:pStyle w:val="Heading4"/>
      </w:pPr>
      <w:r>
        <w:rPr>
          <w:rFonts w:ascii="黑体" w:hAnsi="黑体" w:eastAsia="黑体"/>
        </w:rPr>
        <w:t>碳账户归集</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CR21093-A_ICC_GN1101</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碳账户归集</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在核算任务确认结果后，将排放记录归集到账户。</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任务 resultsConfirmed=true；计算记录存在；具备统一社会信用代码和贷款号。</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任务 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确认结果时系统同步调用归集逻辑；按统一社会信用代码+贷款号创建或更新账户；追加排放记录。</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碳账户、排放记录。</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由确认结果动作触发，无单独人工按钮。</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未确认结果、未计算或缺主键的数据不得入账。</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account key=creditCode+loanAccount；record 包含 year、emission、method、confirmedAt。</w:t>
            </w:r>
          </w:p>
        </w:tc>
      </w:tr>
    </w:tbl>
    <w:p>
      <w:pPr>
        <w:pStyle w:val="Heading4"/>
      </w:pPr>
      <w:r>
        <w:rPr>
          <w:rFonts w:ascii="黑体" w:hAnsi="黑体" w:eastAsia="黑体"/>
        </w:rPr>
        <w:t>碳账户列表查询</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CR21093-A_ICC_GN1102</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碳账户列表查询</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按年度、关键词、分行、状态查询企业碳账户。</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已有账户数据。</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核算年度、关键词、分行、状态。</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进入企业碳账户；系统按角色权限过滤；展示账户统计和列表。</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账户列表。</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企业碳账户页。</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总行可查看全行并管理状态；分行仅查看辖内；客户经理无入口。</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account.status=active/suspended/closed。</w:t>
            </w:r>
          </w:p>
        </w:tc>
      </w:tr>
    </w:tbl>
    <w:p>
      <w:pPr>
        <w:pStyle w:val="Heading4"/>
      </w:pPr>
      <w:r>
        <w:rPr>
          <w:rFonts w:ascii="黑体" w:hAnsi="黑体" w:eastAsia="黑体"/>
        </w:rPr>
        <w:t>碳账户详情与明细</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CR21093-A_ICC_GN1103</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碳账户详情与明细</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查看账户档案、排放明细、汇总、趋势和状态变更。</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账户存在。</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accountId。</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点击账户；进入详情页；展示档案、排放明细、按项目/非项目/行业等汇总、年度趋势、贷款余额碳强度趋势。</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账户详情。</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账户详情页。</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碳账户不直接修改核算结果；需通过核算任务更正。</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carbonAccountRecords 与 accountId 关联。</w:t>
            </w:r>
          </w:p>
        </w:tc>
      </w:tr>
    </w:tbl>
    <w:p>
      <w:pPr>
        <w:pStyle w:val="Heading4"/>
      </w:pPr>
      <w:r>
        <w:rPr>
          <w:rFonts w:ascii="黑体" w:hAnsi="黑体" w:eastAsia="黑体"/>
        </w:rPr>
        <w:t>碳账户状态管理</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内容</w:t>
            </w:r>
          </w:p>
        </w:tc>
      </w:tr>
      <w:tr>
        <w:tc>
          <w:tcPr>
            <w:tcW w:type="dxa" w:w="4680"/>
            <w:vAlign w:val="center"/>
          </w:tcPr>
          <w:p>
            <w:r>
              <w:rPr>
                <w:rFonts w:ascii="宋体" w:hAnsi="宋体" w:eastAsia="宋体"/>
              </w:rPr>
              <w:t>功能编号</w:t>
            </w:r>
          </w:p>
        </w:tc>
        <w:tc>
          <w:tcPr>
            <w:tcW w:type="dxa" w:w="4680"/>
            <w:vAlign w:val="center"/>
          </w:tcPr>
          <w:p>
            <w:r>
              <w:rPr>
                <w:rFonts w:ascii="宋体" w:hAnsi="宋体" w:eastAsia="宋体"/>
              </w:rPr>
              <w:t>CR21093-A_ICC_GN1104</w:t>
            </w:r>
          </w:p>
        </w:tc>
      </w:tr>
      <w:tr>
        <w:tc>
          <w:tcPr>
            <w:tcW w:type="dxa" w:w="4680"/>
            <w:vAlign w:val="center"/>
          </w:tcPr>
          <w:p>
            <w:r>
              <w:rPr>
                <w:rFonts w:ascii="宋体" w:hAnsi="宋体" w:eastAsia="宋体"/>
              </w:rPr>
              <w:t>功能名称</w:t>
            </w:r>
          </w:p>
        </w:tc>
        <w:tc>
          <w:tcPr>
            <w:tcW w:type="dxa" w:w="4680"/>
            <w:vAlign w:val="center"/>
          </w:tcPr>
          <w:p>
            <w:r>
              <w:rPr>
                <w:rFonts w:ascii="宋体" w:hAnsi="宋体" w:eastAsia="宋体"/>
              </w:rPr>
              <w:t>碳账户状态管理</w:t>
            </w:r>
          </w:p>
        </w:tc>
      </w:tr>
      <w:tr>
        <w:tc>
          <w:tcPr>
            <w:tcW w:type="dxa" w:w="4680"/>
            <w:vAlign w:val="center"/>
          </w:tcPr>
          <w:p>
            <w:r>
              <w:rPr>
                <w:rFonts w:ascii="宋体" w:hAnsi="宋体" w:eastAsia="宋体"/>
              </w:rPr>
              <w:t>功能描述</w:t>
            </w:r>
          </w:p>
        </w:tc>
        <w:tc>
          <w:tcPr>
            <w:tcW w:type="dxa" w:w="4680"/>
            <w:vAlign w:val="center"/>
          </w:tcPr>
          <w:p>
            <w:r>
              <w:rPr>
                <w:rFonts w:ascii="宋体" w:hAnsi="宋体" w:eastAsia="宋体"/>
              </w:rPr>
              <w:t>总行对账户执行启用、停用、注销等状态操作。</w:t>
            </w:r>
          </w:p>
        </w:tc>
      </w:tr>
      <w:tr>
        <w:tc>
          <w:tcPr>
            <w:tcW w:type="dxa" w:w="4680"/>
            <w:vAlign w:val="center"/>
          </w:tcPr>
          <w:p>
            <w:r>
              <w:rPr>
                <w:rFonts w:ascii="宋体" w:hAnsi="宋体" w:eastAsia="宋体"/>
              </w:rPr>
              <w:t>前置条件</w:t>
            </w:r>
          </w:p>
        </w:tc>
        <w:tc>
          <w:tcPr>
            <w:tcW w:type="dxa" w:w="4680"/>
            <w:vAlign w:val="center"/>
          </w:tcPr>
          <w:p>
            <w:r>
              <w:rPr>
                <w:rFonts w:ascii="宋体" w:hAnsi="宋体" w:eastAsia="宋体"/>
              </w:rPr>
              <w:t>总行角色；账户存在。</w:t>
            </w:r>
          </w:p>
        </w:tc>
      </w:tr>
      <w:tr>
        <w:tc>
          <w:tcPr>
            <w:tcW w:type="dxa" w:w="4680"/>
            <w:vAlign w:val="center"/>
          </w:tcPr>
          <w:p>
            <w:r>
              <w:rPr>
                <w:rFonts w:ascii="宋体" w:hAnsi="宋体" w:eastAsia="宋体"/>
              </w:rPr>
              <w:t>输入项</w:t>
            </w:r>
          </w:p>
        </w:tc>
        <w:tc>
          <w:tcPr>
            <w:tcW w:type="dxa" w:w="4680"/>
            <w:vAlign w:val="center"/>
          </w:tcPr>
          <w:p>
            <w:r>
              <w:rPr>
                <w:rFonts w:ascii="宋体" w:hAnsi="宋体" w:eastAsia="宋体"/>
              </w:rPr>
              <w:t>accountId、目标状态、原因。</w:t>
            </w:r>
          </w:p>
        </w:tc>
      </w:tr>
      <w:tr>
        <w:tc>
          <w:tcPr>
            <w:tcW w:type="dxa" w:w="4680"/>
            <w:vAlign w:val="center"/>
          </w:tcPr>
          <w:p>
            <w:r>
              <w:rPr>
                <w:rFonts w:ascii="宋体" w:hAnsi="宋体" w:eastAsia="宋体"/>
              </w:rPr>
              <w:t>处理流程</w:t>
            </w:r>
          </w:p>
        </w:tc>
        <w:tc>
          <w:tcPr>
            <w:tcW w:type="dxa" w:w="4680"/>
            <w:vAlign w:val="center"/>
          </w:tcPr>
          <w:p>
            <w:r>
              <w:rPr>
                <w:rFonts w:ascii="宋体" w:hAnsi="宋体" w:eastAsia="宋体"/>
              </w:rPr>
              <w:t>点击状态操作；确认；系统更新状态并追加变更记录。</w:t>
            </w:r>
          </w:p>
        </w:tc>
      </w:tr>
      <w:tr>
        <w:tc>
          <w:tcPr>
            <w:tcW w:type="dxa" w:w="4680"/>
            <w:vAlign w:val="center"/>
          </w:tcPr>
          <w:p>
            <w:r>
              <w:rPr>
                <w:rFonts w:ascii="宋体" w:hAnsi="宋体" w:eastAsia="宋体"/>
              </w:rPr>
              <w:t>输出项</w:t>
            </w:r>
          </w:p>
        </w:tc>
        <w:tc>
          <w:tcPr>
            <w:tcW w:type="dxa" w:w="4680"/>
            <w:vAlign w:val="center"/>
          </w:tcPr>
          <w:p>
            <w:r>
              <w:rPr>
                <w:rFonts w:ascii="宋体" w:hAnsi="宋体" w:eastAsia="宋体"/>
              </w:rPr>
              <w:t>账户状态变更记录。</w:t>
            </w:r>
          </w:p>
        </w:tc>
      </w:tr>
      <w:tr>
        <w:tc>
          <w:tcPr>
            <w:tcW w:type="dxa" w:w="4680"/>
            <w:vAlign w:val="center"/>
          </w:tcPr>
          <w:p>
            <w:r>
              <w:rPr>
                <w:rFonts w:ascii="宋体" w:hAnsi="宋体" w:eastAsia="宋体"/>
              </w:rPr>
              <w:t>界面设计</w:t>
            </w:r>
          </w:p>
        </w:tc>
        <w:tc>
          <w:tcPr>
            <w:tcW w:type="dxa" w:w="4680"/>
            <w:vAlign w:val="center"/>
          </w:tcPr>
          <w:p>
            <w:r>
              <w:rPr>
                <w:rFonts w:ascii="宋体" w:hAnsi="宋体" w:eastAsia="宋体"/>
              </w:rPr>
              <w:t>账户详情状态卡片。</w:t>
            </w:r>
          </w:p>
        </w:tc>
      </w:tr>
      <w:tr>
        <w:tc>
          <w:tcPr>
            <w:tcW w:type="dxa" w:w="4680"/>
            <w:vAlign w:val="center"/>
          </w:tcPr>
          <w:p>
            <w:r>
              <w:rPr>
                <w:rFonts w:ascii="宋体" w:hAnsi="宋体" w:eastAsia="宋体"/>
              </w:rPr>
              <w:t>业务规则</w:t>
            </w:r>
          </w:p>
        </w:tc>
        <w:tc>
          <w:tcPr>
            <w:tcW w:type="dxa" w:w="4680"/>
            <w:vAlign w:val="center"/>
          </w:tcPr>
          <w:p>
            <w:r>
              <w:rPr>
                <w:rFonts w:ascii="宋体" w:hAnsi="宋体" w:eastAsia="宋体"/>
              </w:rPr>
              <w:t>分行不可变更账户状态。</w:t>
            </w:r>
          </w:p>
        </w:tc>
      </w:tr>
      <w:tr>
        <w:tc>
          <w:tcPr>
            <w:tcW w:type="dxa" w:w="4680"/>
            <w:vAlign w:val="center"/>
          </w:tcPr>
          <w:p>
            <w:r>
              <w:rPr>
                <w:rFonts w:ascii="宋体" w:hAnsi="宋体" w:eastAsia="宋体"/>
              </w:rPr>
              <w:t>数据规则</w:t>
            </w:r>
          </w:p>
        </w:tc>
        <w:tc>
          <w:tcPr>
            <w:tcW w:type="dxa" w:w="4680"/>
            <w:vAlign w:val="center"/>
          </w:tcPr>
          <w:p>
            <w:r>
              <w:rPr>
                <w:rFonts w:ascii="宋体" w:hAnsi="宋体" w:eastAsia="宋体"/>
              </w:rPr>
              <w:t>statusHistory。</w:t>
            </w:r>
          </w:p>
        </w:tc>
      </w:tr>
    </w:tbl>
    <w:p>
      <w:pPr>
        <w:pStyle w:val="Heading2"/>
      </w:pPr>
      <w:r>
        <w:rPr>
          <w:rFonts w:ascii="黑体" w:hAnsi="黑体" w:eastAsia="黑体"/>
        </w:rPr>
        <w:t>3.2 外部接口需求</w:t>
      </w:r>
    </w:p>
    <w:p>
      <w:pPr>
        <w:pStyle w:val="Heading3"/>
      </w:pPr>
      <w:r>
        <w:rPr>
          <w:rFonts w:ascii="黑体" w:hAnsi="黑体" w:eastAsia="黑体"/>
        </w:rPr>
        <w:t>3.2.1 信贷台账接口</w:t>
      </w:r>
    </w:p>
    <w:p>
      <w:r>
        <w:rPr>
          <w:rFonts w:ascii="宋体" w:hAnsi="宋体" w:eastAsia="宋体"/>
          <w:sz w:val="21"/>
        </w:rPr>
        <w:t>系统需通过行内信贷核心/主生产系统或数据中台获取贷款台账、客户基础信息、组织信息等数据。当前原型通过接口管理批次模拟月度台账同步。</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Pr>
                <w:rFonts w:ascii="宋体" w:hAnsi="宋体" w:eastAsia="宋体"/>
                <w:b/>
              </w:rPr>
              <w:t>接口项</w:t>
            </w:r>
          </w:p>
        </w:tc>
        <w:tc>
          <w:tcPr>
            <w:tcW w:type="dxa" w:w="3120"/>
            <w:vAlign w:val="center"/>
            <w:shd w:fill="D9EAF7"/>
          </w:tcPr>
          <w:p>
            <w:r>
              <w:rPr>
                <w:rFonts w:ascii="宋体" w:hAnsi="宋体" w:eastAsia="宋体"/>
                <w:b/>
              </w:rPr>
              <w:t>当前原型字段/能力</w:t>
            </w:r>
          </w:p>
        </w:tc>
        <w:tc>
          <w:tcPr>
            <w:tcW w:type="dxa" w:w="3120"/>
            <w:vAlign w:val="center"/>
            <w:shd w:fill="D9EAF7"/>
          </w:tcPr>
          <w:p>
            <w:r>
              <w:rPr>
                <w:rFonts w:ascii="宋体" w:hAnsi="宋体" w:eastAsia="宋体"/>
                <w:b/>
              </w:rPr>
              <w:t>待确认内容</w:t>
            </w:r>
          </w:p>
        </w:tc>
      </w:tr>
      <w:tr>
        <w:tc>
          <w:tcPr>
            <w:tcW w:type="dxa" w:w="3120"/>
            <w:vAlign w:val="center"/>
          </w:tcPr>
          <w:p>
            <w:r>
              <w:rPr>
                <w:rFonts w:ascii="宋体" w:hAnsi="宋体" w:eastAsia="宋体"/>
              </w:rPr>
              <w:t>批次信息</w:t>
            </w:r>
          </w:p>
        </w:tc>
        <w:tc>
          <w:tcPr>
            <w:tcW w:type="dxa" w:w="3120"/>
            <w:vAlign w:val="center"/>
          </w:tcPr>
          <w:p>
            <w:r>
              <w:rPr>
                <w:rFonts w:ascii="宋体" w:hAnsi="宋体" w:eastAsia="宋体"/>
              </w:rPr>
              <w:t>批次号、数据月份、推送时间、数据条数、来源、状态、失败原因、重试。</w:t>
            </w:r>
          </w:p>
        </w:tc>
        <w:tc>
          <w:tcPr>
            <w:tcW w:type="dxa" w:w="3120"/>
            <w:vAlign w:val="center"/>
          </w:tcPr>
          <w:p>
            <w:r>
              <w:rPr>
                <w:rFonts w:ascii="宋体" w:hAnsi="宋体" w:eastAsia="宋体"/>
              </w:rPr>
              <w:t>生产批次编号规则、调用方式、错误码、重试机制。</w:t>
            </w:r>
          </w:p>
        </w:tc>
      </w:tr>
      <w:tr>
        <w:tc>
          <w:tcPr>
            <w:tcW w:type="dxa" w:w="3120"/>
            <w:vAlign w:val="center"/>
          </w:tcPr>
          <w:p>
            <w:r>
              <w:rPr>
                <w:rFonts w:ascii="宋体" w:hAnsi="宋体" w:eastAsia="宋体"/>
              </w:rPr>
              <w:t>台账字段</w:t>
            </w:r>
          </w:p>
        </w:tc>
        <w:tc>
          <w:tcPr>
            <w:tcW w:type="dxa" w:w="3120"/>
            <w:vAlign w:val="center"/>
          </w:tcPr>
          <w:p>
            <w:r>
              <w:rPr>
                <w:rFonts w:ascii="宋体" w:hAnsi="宋体" w:eastAsia="宋体"/>
              </w:rPr>
              <w:t>一级分行、经办行、客户名称、业务品种、贷款账号、投放金额、投放日、贷款主体类型、所属行业、月均信贷余额、营业收入、业务经理。</w:t>
            </w:r>
          </w:p>
        </w:tc>
        <w:tc>
          <w:tcPr>
            <w:tcW w:type="dxa" w:w="3120"/>
            <w:vAlign w:val="center"/>
          </w:tcPr>
          <w:p>
            <w:r>
              <w:rPr>
                <w:rFonts w:ascii="宋体" w:hAnsi="宋体" w:eastAsia="宋体"/>
              </w:rPr>
              <w:t>正式接口字段名、类型、必填性、脱敏要求。</w:t>
            </w:r>
          </w:p>
        </w:tc>
      </w:tr>
      <w:tr>
        <w:tc>
          <w:tcPr>
            <w:tcW w:type="dxa" w:w="3120"/>
            <w:vAlign w:val="center"/>
          </w:tcPr>
          <w:p>
            <w:r>
              <w:rPr>
                <w:rFonts w:ascii="宋体" w:hAnsi="宋体" w:eastAsia="宋体"/>
              </w:rPr>
              <w:t>项目信息字段</w:t>
            </w:r>
          </w:p>
        </w:tc>
        <w:tc>
          <w:tcPr>
            <w:tcW w:type="dxa" w:w="3120"/>
            <w:vAlign w:val="center"/>
          </w:tcPr>
          <w:p>
            <w:r>
              <w:rPr>
                <w:rFonts w:ascii="宋体" w:hAnsi="宋体" w:eastAsia="宋体"/>
              </w:rPr>
              <w:t>项目号、项目名称、省份、项目行业、客户号、信用代码、四级行业代码、项目均贷款余额、项目收入、项目总投资。</w:t>
            </w:r>
          </w:p>
        </w:tc>
        <w:tc>
          <w:tcPr>
            <w:tcW w:type="dxa" w:w="3120"/>
            <w:vAlign w:val="center"/>
          </w:tcPr>
          <w:p>
            <w:r>
              <w:rPr>
                <w:rFonts w:ascii="宋体" w:hAnsi="宋体" w:eastAsia="宋体"/>
              </w:rPr>
              <w:t>哪些业务品种会同步项目信息、字段来源、缺失处理。</w:t>
            </w:r>
          </w:p>
        </w:tc>
      </w:tr>
      <w:tr>
        <w:tc>
          <w:tcPr>
            <w:tcW w:type="dxa" w:w="3120"/>
            <w:vAlign w:val="center"/>
          </w:tcPr>
          <w:p>
            <w:r>
              <w:rPr>
                <w:rFonts w:ascii="宋体" w:hAnsi="宋体" w:eastAsia="宋体"/>
              </w:rPr>
              <w:t>核算类型辅助字段</w:t>
            </w:r>
          </w:p>
        </w:tc>
        <w:tc>
          <w:tcPr>
            <w:tcW w:type="dxa" w:w="3120"/>
            <w:vAlign w:val="center"/>
          </w:tcPr>
          <w:p>
            <w:r>
              <w:rPr>
                <w:rFonts w:ascii="宋体" w:hAnsi="宋体" w:eastAsia="宋体"/>
              </w:rPr>
              <w:t>当前原型按业务品种和 projectDetails 判断。</w:t>
            </w:r>
          </w:p>
        </w:tc>
        <w:tc>
          <w:tcPr>
            <w:tcW w:type="dxa" w:w="3120"/>
            <w:vAlign w:val="center"/>
          </w:tcPr>
          <w:p>
            <w:r>
              <w:rPr>
                <w:rFonts w:ascii="宋体" w:hAnsi="宋体" w:eastAsia="宋体"/>
              </w:rPr>
              <w:t>业务侧完整业务品种→项目/非项目映射关系。</w:t>
            </w:r>
          </w:p>
        </w:tc>
      </w:tr>
    </w:tbl>
    <w:p>
      <w:r>
        <w:rPr>
          <w:rFonts w:ascii="宋体" w:hAnsi="宋体" w:eastAsia="宋体"/>
          <w:b/>
          <w:highlight w:val="yellow"/>
        </w:rPr>
        <w:t>待确认：</w:t>
      </w:r>
      <w:r>
        <w:rPr>
          <w:rFonts w:ascii="宋体" w:hAnsi="宋体" w:eastAsia="宋体"/>
          <w:highlight w:val="yellow"/>
        </w:rPr>
        <w:t>生产接口是否仍需保留 Excel 模板导入作为兜底能力；若保留，需要补充模板字段、校验规则和导入权限。</w:t>
      </w:r>
    </w:p>
    <w:p>
      <w:pPr>
        <w:pStyle w:val="Heading3"/>
      </w:pPr>
      <w:r>
        <w:rPr>
          <w:rFonts w:ascii="黑体" w:hAnsi="黑体" w:eastAsia="黑体"/>
        </w:rPr>
        <w:t>3.2.2 审批与待办接口</w:t>
      </w:r>
    </w:p>
    <w:p>
      <w:r>
        <w:rPr>
          <w:rFonts w:ascii="宋体" w:hAnsi="宋体" w:eastAsia="宋体"/>
          <w:sz w:val="21"/>
        </w:rPr>
        <w:t>审批、待办、审批意见、流程节点配置应沿用绿金系统既有能力。当前原型实现数据审核演示页面，用于验证分行初审、总行终审、退回重填等状态。</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Pr>
                <w:rFonts w:ascii="宋体" w:hAnsi="宋体" w:eastAsia="宋体"/>
                <w:b/>
              </w:rPr>
              <w:t>接口能力</w:t>
            </w:r>
          </w:p>
        </w:tc>
        <w:tc>
          <w:tcPr>
            <w:tcW w:type="dxa" w:w="3120"/>
            <w:vAlign w:val="center"/>
            <w:shd w:fill="D9EAF7"/>
          </w:tcPr>
          <w:p>
            <w:r>
              <w:rPr>
                <w:rFonts w:ascii="宋体" w:hAnsi="宋体" w:eastAsia="宋体"/>
                <w:b/>
              </w:rPr>
              <w:t>碳核算模块提供</w:t>
            </w:r>
          </w:p>
        </w:tc>
        <w:tc>
          <w:tcPr>
            <w:tcW w:type="dxa" w:w="3120"/>
            <w:vAlign w:val="center"/>
            <w:shd w:fill="D9EAF7"/>
          </w:tcPr>
          <w:p>
            <w:r>
              <w:rPr>
                <w:rFonts w:ascii="宋体" w:hAnsi="宋体" w:eastAsia="宋体"/>
                <w:b/>
              </w:rPr>
              <w:t>宿主系统提供</w:t>
            </w:r>
          </w:p>
        </w:tc>
      </w:tr>
      <w:tr>
        <w:tc>
          <w:tcPr>
            <w:tcW w:type="dxa" w:w="3120"/>
            <w:vAlign w:val="center"/>
          </w:tcPr>
          <w:p>
            <w:r>
              <w:rPr>
                <w:rFonts w:ascii="宋体" w:hAnsi="宋体" w:eastAsia="宋体"/>
              </w:rPr>
              <w:t>提交审核</w:t>
            </w:r>
          </w:p>
        </w:tc>
        <w:tc>
          <w:tcPr>
            <w:tcW w:type="dxa" w:w="3120"/>
            <w:vAlign w:val="center"/>
          </w:tcPr>
          <w:p>
            <w:r>
              <w:rPr>
                <w:rFonts w:ascii="宋体" w:hAnsi="宋体" w:eastAsia="宋体"/>
              </w:rPr>
              <w:t>传入单据类型、业务 ID、提交人、所属机构、任务 ID。</w:t>
            </w:r>
          </w:p>
        </w:tc>
        <w:tc>
          <w:tcPr>
            <w:tcW w:type="dxa" w:w="3120"/>
            <w:vAlign w:val="center"/>
          </w:tcPr>
          <w:p>
            <w:r>
              <w:rPr>
                <w:rFonts w:ascii="宋体" w:hAnsi="宋体" w:eastAsia="宋体"/>
              </w:rPr>
              <w:t>生成流程实例、待办、审批节点。</w:t>
            </w:r>
          </w:p>
        </w:tc>
      </w:tr>
      <w:tr>
        <w:tc>
          <w:tcPr>
            <w:tcW w:type="dxa" w:w="3120"/>
            <w:vAlign w:val="center"/>
          </w:tcPr>
          <w:p>
            <w:r>
              <w:rPr>
                <w:rFonts w:ascii="宋体" w:hAnsi="宋体" w:eastAsia="宋体"/>
              </w:rPr>
              <w:t>状态回写</w:t>
            </w:r>
          </w:p>
        </w:tc>
        <w:tc>
          <w:tcPr>
            <w:tcW w:type="dxa" w:w="3120"/>
            <w:vAlign w:val="center"/>
          </w:tcPr>
          <w:p>
            <w:r>
              <w:rPr>
                <w:rFonts w:ascii="宋体" w:hAnsi="宋体" w:eastAsia="宋体"/>
              </w:rPr>
              <w:t>接收或展示待审核、已通过、已退回、已作废等状态。</w:t>
            </w:r>
          </w:p>
        </w:tc>
        <w:tc>
          <w:tcPr>
            <w:tcW w:type="dxa" w:w="3120"/>
            <w:vAlign w:val="center"/>
          </w:tcPr>
          <w:p>
            <w:r>
              <w:rPr>
                <w:rFonts w:ascii="宋体" w:hAnsi="宋体" w:eastAsia="宋体"/>
              </w:rPr>
              <w:t>审批状态码、审批意见、审批人、审批时间。</w:t>
            </w:r>
          </w:p>
        </w:tc>
      </w:tr>
      <w:tr>
        <w:tc>
          <w:tcPr>
            <w:tcW w:type="dxa" w:w="3120"/>
            <w:vAlign w:val="center"/>
          </w:tcPr>
          <w:p>
            <w:r>
              <w:rPr>
                <w:rFonts w:ascii="宋体" w:hAnsi="宋体" w:eastAsia="宋体"/>
              </w:rPr>
              <w:t>退回处理</w:t>
            </w:r>
          </w:p>
        </w:tc>
        <w:tc>
          <w:tcPr>
            <w:tcW w:type="dxa" w:w="3120"/>
            <w:vAlign w:val="center"/>
          </w:tcPr>
          <w:p>
            <w:r>
              <w:rPr>
                <w:rFonts w:ascii="宋体" w:hAnsi="宋体" w:eastAsia="宋体"/>
              </w:rPr>
              <w:t>补录状态改为已退回，客户经理可重新编辑和提交。</w:t>
            </w:r>
          </w:p>
        </w:tc>
        <w:tc>
          <w:tcPr>
            <w:tcW w:type="dxa" w:w="3120"/>
            <w:vAlign w:val="center"/>
          </w:tcPr>
          <w:p>
            <w:r>
              <w:rPr>
                <w:rFonts w:ascii="宋体" w:hAnsi="宋体" w:eastAsia="宋体"/>
              </w:rPr>
              <w:t>记录退回节点、退回原因、待办通知。</w:t>
            </w:r>
          </w:p>
        </w:tc>
      </w:tr>
      <w:tr>
        <w:tc>
          <w:tcPr>
            <w:tcW w:type="dxa" w:w="3120"/>
            <w:vAlign w:val="center"/>
          </w:tcPr>
          <w:p>
            <w:r>
              <w:rPr>
                <w:rFonts w:ascii="宋体" w:hAnsi="宋体" w:eastAsia="宋体"/>
              </w:rPr>
              <w:t>待办展示</w:t>
            </w:r>
          </w:p>
        </w:tc>
        <w:tc>
          <w:tcPr>
            <w:tcW w:type="dxa" w:w="3120"/>
            <w:vAlign w:val="center"/>
          </w:tcPr>
          <w:p>
            <w:r>
              <w:rPr>
                <w:rFonts w:ascii="宋体" w:hAnsi="宋体" w:eastAsia="宋体"/>
              </w:rPr>
              <w:t>当前原型有数据审核列表。</w:t>
            </w:r>
          </w:p>
        </w:tc>
        <w:tc>
          <w:tcPr>
            <w:tcW w:type="dxa" w:w="3120"/>
            <w:vAlign w:val="center"/>
          </w:tcPr>
          <w:p>
            <w:r>
              <w:rPr>
                <w:rFonts w:ascii="宋体" w:hAnsi="宋体" w:eastAsia="宋体"/>
              </w:rPr>
              <w:t>正式生产建议使用绿金系统待办中心。</w:t>
            </w:r>
          </w:p>
        </w:tc>
      </w:tr>
    </w:tbl>
    <w:p>
      <w:r>
        <w:rPr>
          <w:rFonts w:ascii="宋体" w:hAnsi="宋体" w:eastAsia="宋体"/>
          <w:b/>
          <w:color w:val="C00000"/>
        </w:rPr>
        <w:t>重要边界：本文档不设计新的审批引擎、审批节点配置和待办中心；正式生产应复用绿金系统既有能力。</w:t>
      </w:r>
    </w:p>
    <w:p>
      <w:r>
        <w:rPr>
          <w:rFonts w:ascii="宋体" w:hAnsi="宋体" w:eastAsia="宋体"/>
          <w:b/>
          <w:highlight w:val="yellow"/>
        </w:rPr>
        <w:t>待确认：</w:t>
      </w:r>
      <w:r>
        <w:rPr>
          <w:rFonts w:ascii="宋体" w:hAnsi="宋体" w:eastAsia="宋体"/>
          <w:highlight w:val="yellow"/>
        </w:rPr>
        <w:t>正式审批状态码、流程实例 ID、退回后解锁字段范围、管理员驳回是否作为审批退回的一类。</w:t>
      </w:r>
    </w:p>
    <w:p>
      <w:pPr>
        <w:pStyle w:val="Heading3"/>
      </w:pPr>
      <w:r>
        <w:rPr>
          <w:rFonts w:ascii="黑体" w:hAnsi="黑体" w:eastAsia="黑体"/>
        </w:rPr>
        <w:t>3.2.3 组织权限接口</w:t>
      </w:r>
    </w:p>
    <w:p>
      <w:r>
        <w:rPr>
          <w:rFonts w:ascii="宋体" w:hAnsi="宋体" w:eastAsia="宋体"/>
          <w:sz w:val="21"/>
        </w:rPr>
        <w:t>组织树、用户、角色和数据权限沿用绿金系统。碳核算模块根据当前登录用户角色控制菜单可见和数据范围。</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r>
              <w:rPr>
                <w:rFonts w:ascii="宋体" w:hAnsi="宋体" w:eastAsia="宋体"/>
                <w:b/>
              </w:rPr>
              <w:t>角色</w:t>
            </w:r>
          </w:p>
        </w:tc>
        <w:tc>
          <w:tcPr>
            <w:tcW w:type="dxa" w:w="3120"/>
            <w:vAlign w:val="center"/>
            <w:shd w:fill="D9EAF7"/>
          </w:tcPr>
          <w:p>
            <w:r>
              <w:rPr>
                <w:rFonts w:ascii="宋体" w:hAnsi="宋体" w:eastAsia="宋体"/>
                <w:b/>
              </w:rPr>
              <w:t>菜单范围</w:t>
            </w:r>
          </w:p>
        </w:tc>
        <w:tc>
          <w:tcPr>
            <w:tcW w:type="dxa" w:w="3120"/>
            <w:vAlign w:val="center"/>
            <w:shd w:fill="D9EAF7"/>
          </w:tcPr>
          <w:p>
            <w:r>
              <w:rPr>
                <w:rFonts w:ascii="宋体" w:hAnsi="宋体" w:eastAsia="宋体"/>
                <w:b/>
              </w:rPr>
              <w:t>数据范围</w:t>
            </w:r>
          </w:p>
        </w:tc>
      </w:tr>
      <w:tr>
        <w:tc>
          <w:tcPr>
            <w:tcW w:type="dxa" w:w="3120"/>
            <w:vAlign w:val="center"/>
          </w:tcPr>
          <w:p>
            <w:r>
              <w:rPr>
                <w:rFonts w:ascii="宋体" w:hAnsi="宋体" w:eastAsia="宋体"/>
              </w:rPr>
              <w:t>总行</w:t>
            </w:r>
          </w:p>
        </w:tc>
        <w:tc>
          <w:tcPr>
            <w:tcW w:type="dxa" w:w="3120"/>
            <w:vAlign w:val="center"/>
          </w:tcPr>
          <w:p>
            <w:r>
              <w:rPr>
                <w:rFonts w:ascii="宋体" w:hAnsi="宋体" w:eastAsia="宋体"/>
              </w:rPr>
              <w:t>核算任务、数据采集、数据审核、排放因子库、接口管理、企业碳账户、报告。</w:t>
            </w:r>
          </w:p>
        </w:tc>
        <w:tc>
          <w:tcPr>
            <w:tcW w:type="dxa" w:w="3120"/>
            <w:vAlign w:val="center"/>
          </w:tcPr>
          <w:p>
            <w:r>
              <w:rPr>
                <w:rFonts w:ascii="宋体" w:hAnsi="宋体" w:eastAsia="宋体"/>
              </w:rPr>
              <w:t>全行或授权范围。</w:t>
            </w:r>
          </w:p>
        </w:tc>
      </w:tr>
      <w:tr>
        <w:tc>
          <w:tcPr>
            <w:tcW w:type="dxa" w:w="3120"/>
            <w:vAlign w:val="center"/>
          </w:tcPr>
          <w:p>
            <w:r>
              <w:rPr>
                <w:rFonts w:ascii="宋体" w:hAnsi="宋体" w:eastAsia="宋体"/>
              </w:rPr>
              <w:t>分行</w:t>
            </w:r>
          </w:p>
        </w:tc>
        <w:tc>
          <w:tcPr>
            <w:tcW w:type="dxa" w:w="3120"/>
            <w:vAlign w:val="center"/>
          </w:tcPr>
          <w:p>
            <w:r>
              <w:rPr>
                <w:rFonts w:ascii="宋体" w:hAnsi="宋体" w:eastAsia="宋体"/>
              </w:rPr>
              <w:t>按授权访问核算任务、数据审核、企业碳账户等。</w:t>
            </w:r>
          </w:p>
        </w:tc>
        <w:tc>
          <w:tcPr>
            <w:tcW w:type="dxa" w:w="3120"/>
            <w:vAlign w:val="center"/>
          </w:tcPr>
          <w:p>
            <w:r>
              <w:rPr>
                <w:rFonts w:ascii="宋体" w:hAnsi="宋体" w:eastAsia="宋体"/>
              </w:rPr>
              <w:t>辖内分行/经办行数据。</w:t>
            </w:r>
          </w:p>
        </w:tc>
      </w:tr>
      <w:tr>
        <w:tc>
          <w:tcPr>
            <w:tcW w:type="dxa" w:w="3120"/>
            <w:vAlign w:val="center"/>
          </w:tcPr>
          <w:p>
            <w:r>
              <w:rPr>
                <w:rFonts w:ascii="宋体" w:hAnsi="宋体" w:eastAsia="宋体"/>
              </w:rPr>
              <w:t>客户经理</w:t>
            </w:r>
          </w:p>
        </w:tc>
        <w:tc>
          <w:tcPr>
            <w:tcW w:type="dxa" w:w="3120"/>
            <w:vAlign w:val="center"/>
          </w:tcPr>
          <w:p>
            <w:r>
              <w:rPr>
                <w:rFonts w:ascii="宋体" w:hAnsi="宋体" w:eastAsia="宋体"/>
              </w:rPr>
              <w:t>客户经理任务清单、补录填报。</w:t>
            </w:r>
          </w:p>
        </w:tc>
        <w:tc>
          <w:tcPr>
            <w:tcW w:type="dxa" w:w="3120"/>
            <w:vAlign w:val="center"/>
          </w:tcPr>
          <w:p>
            <w:r>
              <w:rPr>
                <w:rFonts w:ascii="宋体" w:hAnsi="宋体" w:eastAsia="宋体"/>
              </w:rPr>
              <w:t>本人负责的补录任务。</w:t>
            </w:r>
          </w:p>
        </w:tc>
      </w:tr>
    </w:tbl>
    <w:p>
      <w:pPr>
        <w:pStyle w:val="Heading3"/>
      </w:pPr>
      <w:r>
        <w:rPr>
          <w:rFonts w:ascii="黑体" w:hAnsi="黑体" w:eastAsia="黑体"/>
        </w:rPr>
        <w:t>3.2.4 附件与文件服务</w:t>
      </w:r>
    </w:p>
    <w:p>
      <w:r>
        <w:rPr>
          <w:rFonts w:ascii="宋体" w:hAnsi="宋体" w:eastAsia="宋体"/>
          <w:sz w:val="21"/>
        </w:rPr>
        <w:t>补录填报需支持报告、核查材料、财务材料等附件上传。当前原型仅在本地状态中模拟附件列表。正式系统需接入行内文件服务。</w:t>
      </w:r>
    </w:p>
    <w:p>
      <w:r>
        <w:rPr>
          <w:rFonts w:ascii="宋体" w:hAnsi="宋体" w:eastAsia="宋体"/>
          <w:b/>
          <w:highlight w:val="yellow"/>
        </w:rPr>
        <w:t>待确认：</w:t>
      </w:r>
      <w:r>
        <w:rPr>
          <w:rFonts w:ascii="宋体" w:hAnsi="宋体" w:eastAsia="宋体"/>
          <w:highlight w:val="yellow"/>
        </w:rPr>
        <w:t>文件服务接口、病毒扫描、附件预览、附件留存年限、单文件大小和数量限制是否沿用当前原型“每方法最多 3 个、单文件不超过 20MB”。</w:t>
      </w:r>
    </w:p>
    <w:p>
      <w:pPr>
        <w:pStyle w:val="Heading2"/>
      </w:pPr>
      <w:r>
        <w:rPr>
          <w:rFonts w:ascii="黑体" w:hAnsi="黑体" w:eastAsia="黑体"/>
        </w:rPr>
        <w:t>3.3 非功能性需求</w:t>
      </w:r>
    </w:p>
    <w:p>
      <w:pPr>
        <w:pStyle w:val="Heading3"/>
      </w:pPr>
      <w:r>
        <w:rPr>
          <w:rFonts w:ascii="黑体" w:hAnsi="黑体" w:eastAsia="黑体"/>
        </w:rPr>
        <w:t>3.3.1 性能</w:t>
      </w:r>
    </w:p>
    <w:p>
      <w:pPr>
        <w:pStyle w:val="ListBullet"/>
      </w:pPr>
      <w:r>
        <w:rPr>
          <w:rFonts w:ascii="宋体" w:hAnsi="宋体" w:eastAsia="宋体"/>
          <w:sz w:val="21"/>
        </w:rPr>
        <w:t>候选清单与正式清单应支持年度全行批量台账数据查询、筛选、分页和导出。</w:t>
      </w:r>
    </w:p>
    <w:p>
      <w:pPr>
        <w:pStyle w:val="ListBullet"/>
      </w:pPr>
      <w:r>
        <w:rPr>
          <w:rFonts w:ascii="宋体" w:hAnsi="宋体" w:eastAsia="宋体"/>
          <w:sz w:val="21"/>
        </w:rPr>
        <w:t>数据采集和排放计算应支持批量处理，经济法直算可对符合条件记录一键执行。</w:t>
      </w:r>
    </w:p>
    <w:p>
      <w:pPr>
        <w:pStyle w:val="ListBullet"/>
      </w:pPr>
      <w:r>
        <w:rPr>
          <w:rFonts w:ascii="宋体" w:hAnsi="宋体" w:eastAsia="宋体"/>
          <w:sz w:val="21"/>
        </w:rPr>
        <w:t>企业碳账户应支持跨年度排放记录查询和分页展示。</w:t>
      </w:r>
    </w:p>
    <w:p>
      <w:r>
        <w:rPr>
          <w:rFonts w:ascii="宋体" w:hAnsi="宋体" w:eastAsia="宋体"/>
          <w:b/>
          <w:highlight w:val="yellow"/>
        </w:rPr>
        <w:t>待确认：</w:t>
      </w:r>
      <w:r>
        <w:rPr>
          <w:rFonts w:ascii="宋体" w:hAnsi="宋体" w:eastAsia="宋体"/>
          <w:highlight w:val="yellow"/>
        </w:rPr>
        <w:t>生产环境单任务最大台账笔数、并发用户数、批量计算响应时间、报告生成最大数据量。</w:t>
      </w:r>
    </w:p>
    <w:p>
      <w:pPr>
        <w:pStyle w:val="Heading3"/>
      </w:pPr>
      <w:r>
        <w:rPr>
          <w:rFonts w:ascii="黑体" w:hAnsi="黑体" w:eastAsia="黑体"/>
        </w:rPr>
        <w:t>3.3.2 安全性</w:t>
      </w:r>
    </w:p>
    <w:p>
      <w:pPr>
        <w:pStyle w:val="ListBullet"/>
      </w:pPr>
      <w:r>
        <w:rPr>
          <w:rFonts w:ascii="宋体" w:hAnsi="宋体" w:eastAsia="宋体"/>
          <w:sz w:val="21"/>
        </w:rPr>
        <w:t>必须通过绿金系统统一认证与授权。</w:t>
      </w:r>
    </w:p>
    <w:p>
      <w:pPr>
        <w:pStyle w:val="ListBullet"/>
      </w:pPr>
      <w:r>
        <w:rPr>
          <w:rFonts w:ascii="宋体" w:hAnsi="宋体" w:eastAsia="宋体"/>
          <w:sz w:val="21"/>
        </w:rPr>
        <w:t>总行、分行、客户经理应按角色与组织范围隔离菜单和数据。</w:t>
      </w:r>
    </w:p>
    <w:p>
      <w:pPr>
        <w:pStyle w:val="ListBullet"/>
      </w:pPr>
      <w:r>
        <w:rPr>
          <w:rFonts w:ascii="宋体" w:hAnsi="宋体" w:eastAsia="宋体"/>
          <w:sz w:val="21"/>
        </w:rPr>
        <w:t>客户经理不得访问核算任务、数据采集管理、数据审核管理、接口管理、排放因子库和企业碳账户。</w:t>
      </w:r>
    </w:p>
    <w:p>
      <w:pPr>
        <w:pStyle w:val="ListBullet"/>
      </w:pPr>
      <w:r>
        <w:rPr>
          <w:rFonts w:ascii="宋体" w:hAnsi="宋体" w:eastAsia="宋体"/>
          <w:sz w:val="21"/>
        </w:rPr>
        <w:t>附件、报告下载应符合行内信息安全和脱敏要求。</w:t>
      </w:r>
    </w:p>
    <w:p>
      <w:pPr>
        <w:pStyle w:val="Heading3"/>
      </w:pPr>
      <w:r>
        <w:rPr>
          <w:rFonts w:ascii="黑体" w:hAnsi="黑体" w:eastAsia="黑体"/>
        </w:rPr>
        <w:t>3.3.3 可靠性</w:t>
      </w:r>
    </w:p>
    <w:p>
      <w:pPr>
        <w:pStyle w:val="ListBullet"/>
      </w:pPr>
      <w:r>
        <w:rPr>
          <w:rFonts w:ascii="宋体" w:hAnsi="宋体" w:eastAsia="宋体"/>
          <w:sz w:val="21"/>
        </w:rPr>
        <w:t>接口批次失败应可重试，并保留失败原因。</w:t>
      </w:r>
    </w:p>
    <w:p>
      <w:pPr>
        <w:pStyle w:val="ListBullet"/>
      </w:pPr>
      <w:r>
        <w:rPr>
          <w:rFonts w:ascii="宋体" w:hAnsi="宋体" w:eastAsia="宋体"/>
          <w:sz w:val="21"/>
        </w:rPr>
        <w:t>补录暂存、提交、审核、退回、通过等关键状态应可追溯。</w:t>
      </w:r>
    </w:p>
    <w:p>
      <w:pPr>
        <w:pStyle w:val="ListBullet"/>
      </w:pPr>
      <w:r>
        <w:rPr>
          <w:rFonts w:ascii="宋体" w:hAnsi="宋体" w:eastAsia="宋体"/>
          <w:sz w:val="21"/>
        </w:rPr>
        <w:t>计算结果确认前不得生成正式报告或归集至企业碳账户。</w:t>
      </w:r>
    </w:p>
    <w:p>
      <w:pPr>
        <w:pStyle w:val="ListBullet"/>
      </w:pPr>
      <w:r>
        <w:rPr>
          <w:rFonts w:ascii="宋体" w:hAnsi="宋体" w:eastAsia="宋体"/>
          <w:sz w:val="21"/>
        </w:rPr>
        <w:t>已通过补录被管理员驳回时，须作废原审核记录并保留原因。</w:t>
      </w:r>
    </w:p>
    <w:p>
      <w:pPr>
        <w:pStyle w:val="Heading3"/>
      </w:pPr>
      <w:r>
        <w:rPr>
          <w:rFonts w:ascii="黑体" w:hAnsi="黑体" w:eastAsia="黑体"/>
        </w:rPr>
        <w:t>3.3.4 可维护性</w:t>
      </w:r>
    </w:p>
    <w:p>
      <w:pPr>
        <w:pStyle w:val="ListBullet"/>
      </w:pPr>
      <w:r>
        <w:rPr>
          <w:rFonts w:ascii="宋体" w:hAnsi="宋体" w:eastAsia="宋体"/>
          <w:sz w:val="21"/>
        </w:rPr>
        <w:t>行业、业务品种、项目类映射、因子、方法模板应支持配置化维护或由接口/字典提供。</w:t>
      </w:r>
    </w:p>
    <w:p>
      <w:pPr>
        <w:pStyle w:val="ListBullet"/>
      </w:pPr>
      <w:r>
        <w:rPr>
          <w:rFonts w:ascii="宋体" w:hAnsi="宋体" w:eastAsia="宋体"/>
          <w:sz w:val="21"/>
        </w:rPr>
        <w:t>内置排放因子不可直接修改，需复制为自定义因子后维护。</w:t>
      </w:r>
    </w:p>
    <w:p>
      <w:pPr>
        <w:pStyle w:val="ListBullet"/>
      </w:pPr>
      <w:r>
        <w:rPr>
          <w:rFonts w:ascii="宋体" w:hAnsi="宋体" w:eastAsia="宋体"/>
          <w:sz w:val="21"/>
        </w:rPr>
        <w:t>报告模板、监管范围提取规则应与业务模板解耦，便于后续更新。</w:t>
      </w:r>
    </w:p>
    <w:p>
      <w:pPr>
        <w:pStyle w:val="Heading3"/>
      </w:pPr>
      <w:r>
        <w:rPr>
          <w:rFonts w:ascii="黑体" w:hAnsi="黑体" w:eastAsia="黑体"/>
        </w:rPr>
        <w:t>3.3.5 易用性</w:t>
      </w:r>
    </w:p>
    <w:p>
      <w:pPr>
        <w:pStyle w:val="ListBullet"/>
      </w:pPr>
      <w:r>
        <w:rPr>
          <w:rFonts w:ascii="宋体" w:hAnsi="宋体" w:eastAsia="宋体"/>
          <w:sz w:val="21"/>
        </w:rPr>
        <w:t>六步流程条应清晰展示当前进度，查看模式下已完成步骤可跳转浏览但不可操作。</w:t>
      </w:r>
    </w:p>
    <w:p>
      <w:pPr>
        <w:pStyle w:val="ListBullet"/>
      </w:pPr>
      <w:r>
        <w:rPr>
          <w:rFonts w:ascii="宋体" w:hAnsi="宋体" w:eastAsia="宋体"/>
          <w:sz w:val="21"/>
        </w:rPr>
        <w:t>客户经理补录页应按企业基本信息、排放数据、审批流程分区展示。</w:t>
      </w:r>
    </w:p>
    <w:p>
      <w:pPr>
        <w:pStyle w:val="ListBullet"/>
      </w:pPr>
      <w:r>
        <w:rPr>
          <w:rFonts w:ascii="宋体" w:hAnsi="宋体" w:eastAsia="宋体"/>
          <w:sz w:val="21"/>
        </w:rPr>
        <w:t>项目类业务的项目信息字段应根据“是否可提供项目信息”动态显示。</w:t>
      </w:r>
    </w:p>
    <w:p>
      <w:pPr>
        <w:pStyle w:val="ListBullet"/>
      </w:pPr>
      <w:r>
        <w:rPr>
          <w:rFonts w:ascii="宋体" w:hAnsi="宋体" w:eastAsia="宋体"/>
          <w:sz w:val="21"/>
        </w:rPr>
        <w:t>状态文案应统一：待填报、填报中、待提交、待审核、已通过、已退回、已直算等。</w:t>
      </w:r>
    </w:p>
    <w:p>
      <w:pPr>
        <w:pStyle w:val="Heading3"/>
      </w:pPr>
      <w:r>
        <w:rPr>
          <w:rFonts w:ascii="黑体" w:hAnsi="黑体" w:eastAsia="黑体"/>
        </w:rPr>
        <w:t>3.3.6 设计约束</w:t>
      </w:r>
    </w:p>
    <w:p>
      <w:pPr>
        <w:pStyle w:val="ListBullet"/>
      </w:pPr>
      <w:r>
        <w:rPr>
          <w:rFonts w:ascii="宋体" w:hAnsi="宋体" w:eastAsia="宋体"/>
          <w:sz w:val="21"/>
        </w:rPr>
        <w:t>前端需符合绿金系统菜单、权限、按钮和表格风格。</w:t>
      </w:r>
    </w:p>
    <w:p>
      <w:pPr>
        <w:pStyle w:val="ListBullet"/>
      </w:pPr>
      <w:r>
        <w:rPr>
          <w:rFonts w:ascii="宋体" w:hAnsi="宋体" w:eastAsia="宋体"/>
          <w:sz w:val="21"/>
        </w:rPr>
        <w:t>审批模块不在投融资碳核算中重复建设。</w:t>
      </w:r>
    </w:p>
    <w:p>
      <w:pPr>
        <w:pStyle w:val="ListBullet"/>
      </w:pPr>
      <w:r>
        <w:rPr>
          <w:rFonts w:ascii="宋体" w:hAnsi="宋体" w:eastAsia="宋体"/>
          <w:sz w:val="21"/>
        </w:rPr>
        <w:t>计算公式以《商业银行投融资业务碳核算与报告指南》及行内确认口径为准；当前原型中的能源法、产品法估算为演示口径。</w:t>
      </w:r>
    </w:p>
    <w:p>
      <w:pPr>
        <w:pStyle w:val="ListBullet"/>
      </w:pPr>
      <w:r>
        <w:rPr>
          <w:rFonts w:ascii="宋体" w:hAnsi="宋体" w:eastAsia="宋体"/>
          <w:sz w:val="21"/>
        </w:rPr>
        <w:t>企业碳账户不直接修改核算结果，如需更正应回到核算任务处理。</w:t>
      </w:r>
    </w:p>
    <w:p>
      <w:pPr>
        <w:pStyle w:val="Heading2"/>
      </w:pPr>
      <w:r>
        <w:rPr>
          <w:rFonts w:ascii="黑体" w:hAnsi="黑体" w:eastAsia="黑体"/>
        </w:rPr>
        <w:t>3.4 系统应急恢复目标</w:t>
      </w:r>
    </w:p>
    <w:p>
      <w:r>
        <w:rPr>
          <w:rFonts w:ascii="宋体" w:hAnsi="宋体" w:eastAsia="宋体"/>
          <w:sz w:val="21"/>
        </w:rPr>
        <w:t>投融资碳核算模块作为绿金系统嵌入模块，其应急恢复目标应不低于绿金系统总体要求。</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项目</w:t>
            </w:r>
          </w:p>
        </w:tc>
        <w:tc>
          <w:tcPr>
            <w:tcW w:type="dxa" w:w="4680"/>
            <w:vAlign w:val="center"/>
            <w:shd w:fill="D9EAF7"/>
          </w:tcPr>
          <w:p>
            <w:r>
              <w:rPr>
                <w:rFonts w:ascii="宋体" w:hAnsi="宋体" w:eastAsia="宋体"/>
                <w:b/>
              </w:rPr>
              <w:t>要求</w:t>
            </w:r>
          </w:p>
        </w:tc>
      </w:tr>
      <w:tr>
        <w:tc>
          <w:tcPr>
            <w:tcW w:type="dxa" w:w="4680"/>
            <w:vAlign w:val="center"/>
          </w:tcPr>
          <w:p>
            <w:r>
              <w:rPr>
                <w:rFonts w:ascii="宋体" w:hAnsi="宋体" w:eastAsia="宋体"/>
              </w:rPr>
              <w:t>接口批次</w:t>
            </w:r>
          </w:p>
        </w:tc>
        <w:tc>
          <w:tcPr>
            <w:tcW w:type="dxa" w:w="4680"/>
            <w:vAlign w:val="center"/>
          </w:tcPr>
          <w:p>
            <w:r>
              <w:rPr>
                <w:rFonts w:ascii="宋体" w:hAnsi="宋体" w:eastAsia="宋体"/>
              </w:rPr>
              <w:t>失败可重试；失败原因可查询。</w:t>
            </w:r>
          </w:p>
        </w:tc>
      </w:tr>
      <w:tr>
        <w:tc>
          <w:tcPr>
            <w:tcW w:type="dxa" w:w="4680"/>
            <w:vAlign w:val="center"/>
          </w:tcPr>
          <w:p>
            <w:r>
              <w:rPr>
                <w:rFonts w:ascii="宋体" w:hAnsi="宋体" w:eastAsia="宋体"/>
              </w:rPr>
              <w:t>补录数据</w:t>
            </w:r>
          </w:p>
        </w:tc>
        <w:tc>
          <w:tcPr>
            <w:tcW w:type="dxa" w:w="4680"/>
            <w:vAlign w:val="center"/>
          </w:tcPr>
          <w:p>
            <w:r>
              <w:rPr>
                <w:rFonts w:ascii="宋体" w:hAnsi="宋体" w:eastAsia="宋体"/>
              </w:rPr>
              <w:t>已暂存或已提交数据应可恢复，不因页面刷新丢失。</w:t>
            </w:r>
          </w:p>
        </w:tc>
      </w:tr>
      <w:tr>
        <w:tc>
          <w:tcPr>
            <w:tcW w:type="dxa" w:w="4680"/>
            <w:vAlign w:val="center"/>
          </w:tcPr>
          <w:p>
            <w:r>
              <w:rPr>
                <w:rFonts w:ascii="宋体" w:hAnsi="宋体" w:eastAsia="宋体"/>
              </w:rPr>
              <w:t>计算结果</w:t>
            </w:r>
          </w:p>
        </w:tc>
        <w:tc>
          <w:tcPr>
            <w:tcW w:type="dxa" w:w="4680"/>
            <w:vAlign w:val="center"/>
          </w:tcPr>
          <w:p>
            <w:r>
              <w:rPr>
                <w:rFonts w:ascii="宋体" w:hAnsi="宋体" w:eastAsia="宋体"/>
              </w:rPr>
              <w:t>已确认结果应可追溯，归集至企业碳账户后可按任务回查。</w:t>
            </w:r>
          </w:p>
        </w:tc>
      </w:tr>
      <w:tr>
        <w:tc>
          <w:tcPr>
            <w:tcW w:type="dxa" w:w="4680"/>
            <w:vAlign w:val="center"/>
          </w:tcPr>
          <w:p>
            <w:r>
              <w:rPr>
                <w:rFonts w:ascii="宋体" w:hAnsi="宋体" w:eastAsia="宋体"/>
              </w:rPr>
              <w:t>报告文件</w:t>
            </w:r>
          </w:p>
        </w:tc>
        <w:tc>
          <w:tcPr>
            <w:tcW w:type="dxa" w:w="4680"/>
            <w:vAlign w:val="center"/>
          </w:tcPr>
          <w:p>
            <w:r>
              <w:rPr>
                <w:rFonts w:ascii="宋体" w:hAnsi="宋体" w:eastAsia="宋体"/>
              </w:rPr>
              <w:t>已生成报告应可再次下载或重新生成。</w:t>
            </w:r>
          </w:p>
        </w:tc>
      </w:tr>
    </w:tbl>
    <w:p>
      <w:r>
        <w:rPr>
          <w:rFonts w:ascii="宋体" w:hAnsi="宋体" w:eastAsia="宋体"/>
          <w:b/>
          <w:highlight w:val="yellow"/>
        </w:rPr>
        <w:t>待确认：</w:t>
      </w:r>
      <w:r>
        <w:rPr>
          <w:rFonts w:ascii="宋体" w:hAnsi="宋体" w:eastAsia="宋体"/>
          <w:highlight w:val="yellow"/>
        </w:rPr>
        <w:t>RTO/RPO、备份策略、日志保留策略按行内灾备规范具体落表。</w:t>
      </w:r>
    </w:p>
    <w:p>
      <w:pPr>
        <w:pStyle w:val="Heading2"/>
      </w:pPr>
      <w:r>
        <w:rPr>
          <w:rFonts w:ascii="黑体" w:hAnsi="黑体" w:eastAsia="黑体"/>
        </w:rPr>
        <w:t>3.5 数据管理目标</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数据对象</w:t>
            </w:r>
          </w:p>
        </w:tc>
        <w:tc>
          <w:tcPr>
            <w:tcW w:type="dxa" w:w="4680"/>
            <w:vAlign w:val="center"/>
            <w:shd w:fill="D9EAF7"/>
          </w:tcPr>
          <w:p>
            <w:r>
              <w:rPr>
                <w:rFonts w:ascii="宋体" w:hAnsi="宋体" w:eastAsia="宋体"/>
                <w:b/>
              </w:rPr>
              <w:t>管理要求</w:t>
            </w:r>
          </w:p>
        </w:tc>
      </w:tr>
      <w:tr>
        <w:tc>
          <w:tcPr>
            <w:tcW w:type="dxa" w:w="4680"/>
            <w:vAlign w:val="center"/>
          </w:tcPr>
          <w:p>
            <w:r>
              <w:rPr>
                <w:rFonts w:ascii="宋体" w:hAnsi="宋体" w:eastAsia="宋体"/>
              </w:rPr>
              <w:t>核算任务</w:t>
            </w:r>
          </w:p>
        </w:tc>
        <w:tc>
          <w:tcPr>
            <w:tcW w:type="dxa" w:w="4680"/>
            <w:vAlign w:val="center"/>
          </w:tcPr>
          <w:p>
            <w:r>
              <w:rPr>
                <w:rFonts w:ascii="宋体" w:hAnsi="宋体" w:eastAsia="宋体"/>
              </w:rPr>
              <w:t>保留任务配置、流程步骤、发起组织、进度、确认结果时间。</w:t>
            </w:r>
          </w:p>
        </w:tc>
      </w:tr>
      <w:tr>
        <w:tc>
          <w:tcPr>
            <w:tcW w:type="dxa" w:w="4680"/>
            <w:vAlign w:val="center"/>
          </w:tcPr>
          <w:p>
            <w:r>
              <w:rPr>
                <w:rFonts w:ascii="宋体" w:hAnsi="宋体" w:eastAsia="宋体"/>
              </w:rPr>
              <w:t>候选/正式清单</w:t>
            </w:r>
          </w:p>
        </w:tc>
        <w:tc>
          <w:tcPr>
            <w:tcW w:type="dxa" w:w="4680"/>
            <w:vAlign w:val="center"/>
          </w:tcPr>
          <w:p>
            <w:r>
              <w:rPr>
                <w:rFonts w:ascii="宋体" w:hAnsi="宋体" w:eastAsia="宋体"/>
              </w:rPr>
              <w:t>保留台账字段、纳入状态、核算类型、项目明细、锁定状态。</w:t>
            </w:r>
          </w:p>
        </w:tc>
      </w:tr>
      <w:tr>
        <w:tc>
          <w:tcPr>
            <w:tcW w:type="dxa" w:w="4680"/>
            <w:vAlign w:val="center"/>
          </w:tcPr>
          <w:p>
            <w:r>
              <w:rPr>
                <w:rFonts w:ascii="宋体" w:hAnsi="宋体" w:eastAsia="宋体"/>
              </w:rPr>
              <w:t>补录任务</w:t>
            </w:r>
          </w:p>
        </w:tc>
        <w:tc>
          <w:tcPr>
            <w:tcW w:type="dxa" w:w="4680"/>
            <w:vAlign w:val="center"/>
          </w:tcPr>
          <w:p>
            <w:r>
              <w:rPr>
                <w:rFonts w:ascii="宋体" w:hAnsi="宋体" w:eastAsia="宋体"/>
              </w:rPr>
              <w:t>保留填报字段、附件元数据、提交状态、审核状态、退回原因。</w:t>
            </w:r>
          </w:p>
        </w:tc>
      </w:tr>
      <w:tr>
        <w:tc>
          <w:tcPr>
            <w:tcW w:type="dxa" w:w="4680"/>
            <w:vAlign w:val="center"/>
          </w:tcPr>
          <w:p>
            <w:r>
              <w:rPr>
                <w:rFonts w:ascii="宋体" w:hAnsi="宋体" w:eastAsia="宋体"/>
              </w:rPr>
              <w:t>计算结果</w:t>
            </w:r>
          </w:p>
        </w:tc>
        <w:tc>
          <w:tcPr>
            <w:tcW w:type="dxa" w:w="4680"/>
            <w:vAlign w:val="center"/>
          </w:tcPr>
          <w:p>
            <w:r>
              <w:rPr>
                <w:rFonts w:ascii="宋体" w:hAnsi="宋体" w:eastAsia="宋体"/>
              </w:rPr>
              <w:t>保留方法、主体排放、归因排放、质量等级、计算完成时间。</w:t>
            </w:r>
          </w:p>
        </w:tc>
      </w:tr>
      <w:tr>
        <w:tc>
          <w:tcPr>
            <w:tcW w:type="dxa" w:w="4680"/>
            <w:vAlign w:val="center"/>
          </w:tcPr>
          <w:p>
            <w:r>
              <w:rPr>
                <w:rFonts w:ascii="宋体" w:hAnsi="宋体" w:eastAsia="宋体"/>
              </w:rPr>
              <w:t>报告记录</w:t>
            </w:r>
          </w:p>
        </w:tc>
        <w:tc>
          <w:tcPr>
            <w:tcW w:type="dxa" w:w="4680"/>
            <w:vAlign w:val="center"/>
          </w:tcPr>
          <w:p>
            <w:r>
              <w:rPr>
                <w:rFonts w:ascii="宋体" w:hAnsi="宋体" w:eastAsia="宋体"/>
              </w:rPr>
              <w:t>保留导出范围、模板、格式、记录数、总排放、生成时间和操作人。</w:t>
            </w:r>
          </w:p>
        </w:tc>
      </w:tr>
      <w:tr>
        <w:tc>
          <w:tcPr>
            <w:tcW w:type="dxa" w:w="4680"/>
            <w:vAlign w:val="center"/>
          </w:tcPr>
          <w:p>
            <w:r>
              <w:rPr>
                <w:rFonts w:ascii="宋体" w:hAnsi="宋体" w:eastAsia="宋体"/>
              </w:rPr>
              <w:t>企业碳账户</w:t>
            </w:r>
          </w:p>
        </w:tc>
        <w:tc>
          <w:tcPr>
            <w:tcW w:type="dxa" w:w="4680"/>
            <w:vAlign w:val="center"/>
          </w:tcPr>
          <w:p>
            <w:r>
              <w:rPr>
                <w:rFonts w:ascii="宋体" w:hAnsi="宋体" w:eastAsia="宋体"/>
              </w:rPr>
              <w:t>保留账户档案、排放记录、年度趋势、状态变更记录。</w:t>
            </w:r>
          </w:p>
        </w:tc>
      </w:tr>
      <w:tr>
        <w:tc>
          <w:tcPr>
            <w:tcW w:type="dxa" w:w="4680"/>
            <w:vAlign w:val="center"/>
          </w:tcPr>
          <w:p>
            <w:r>
              <w:rPr>
                <w:rFonts w:ascii="宋体" w:hAnsi="宋体" w:eastAsia="宋体"/>
              </w:rPr>
              <w:t>因子库</w:t>
            </w:r>
          </w:p>
        </w:tc>
        <w:tc>
          <w:tcPr>
            <w:tcW w:type="dxa" w:w="4680"/>
            <w:vAlign w:val="center"/>
          </w:tcPr>
          <w:p>
            <w:r>
              <w:rPr>
                <w:rFonts w:ascii="宋体" w:hAnsi="宋体" w:eastAsia="宋体"/>
              </w:rPr>
              <w:t>内置因子与自定义因子分离管理，自定义因子变更留痕。</w:t>
            </w:r>
          </w:p>
        </w:tc>
      </w:tr>
    </w:tbl>
    <w:p>
      <w:r>
        <w:rPr>
          <w:rFonts w:ascii="宋体" w:hAnsi="宋体" w:eastAsia="宋体"/>
          <w:b/>
          <w:highlight w:val="yellow"/>
        </w:rPr>
        <w:t>待确认：</w:t>
      </w:r>
      <w:r>
        <w:rPr>
          <w:rFonts w:ascii="宋体" w:hAnsi="宋体" w:eastAsia="宋体"/>
          <w:highlight w:val="yellow"/>
        </w:rPr>
        <w:t>各类数据正式留存年限、历史版本保留策略和脱敏字段清单。</w:t>
      </w:r>
    </w:p>
    <w:p>
      <w:pPr>
        <w:pStyle w:val="Heading1"/>
      </w:pPr>
      <w:r>
        <w:rPr>
          <w:rFonts w:ascii="黑体" w:hAnsi="黑体" w:eastAsia="黑体"/>
        </w:rPr>
        <w:t>4 附录</w:t>
      </w:r>
    </w:p>
    <w:p>
      <w:pPr>
        <w:pStyle w:val="Heading2"/>
      </w:pPr>
      <w:r>
        <w:rPr>
          <w:rFonts w:ascii="黑体" w:hAnsi="黑体" w:eastAsia="黑体"/>
        </w:rPr>
        <w:t>4.1 当前待确认事项</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r>
              <w:rPr>
                <w:rFonts w:ascii="宋体" w:hAnsi="宋体" w:eastAsia="宋体"/>
                <w:b/>
              </w:rPr>
              <w:t>编号</w:t>
            </w:r>
          </w:p>
        </w:tc>
        <w:tc>
          <w:tcPr>
            <w:tcW w:type="dxa" w:w="2340"/>
            <w:vAlign w:val="center"/>
            <w:shd w:fill="D9EAF7"/>
          </w:tcPr>
          <w:p>
            <w:r>
              <w:rPr>
                <w:rFonts w:ascii="宋体" w:hAnsi="宋体" w:eastAsia="宋体"/>
                <w:b/>
              </w:rPr>
              <w:t>待确认事项</w:t>
            </w:r>
          </w:p>
        </w:tc>
        <w:tc>
          <w:tcPr>
            <w:tcW w:type="dxa" w:w="2340"/>
            <w:vAlign w:val="center"/>
            <w:shd w:fill="D9EAF7"/>
          </w:tcPr>
          <w:p>
            <w:r>
              <w:rPr>
                <w:rFonts w:ascii="宋体" w:hAnsi="宋体" w:eastAsia="宋体"/>
                <w:b/>
              </w:rPr>
              <w:t>影响范围</w:t>
            </w:r>
          </w:p>
        </w:tc>
        <w:tc>
          <w:tcPr>
            <w:tcW w:type="dxa" w:w="2340"/>
            <w:vAlign w:val="center"/>
            <w:shd w:fill="D9EAF7"/>
          </w:tcPr>
          <w:p>
            <w:r>
              <w:rPr>
                <w:rFonts w:ascii="宋体" w:hAnsi="宋体" w:eastAsia="宋体"/>
                <w:b/>
              </w:rPr>
              <w:t>建议处理</w:t>
            </w:r>
          </w:p>
        </w:tc>
      </w:tr>
      <w:tr>
        <w:tc>
          <w:tcPr>
            <w:tcW w:type="dxa" w:w="2340"/>
            <w:vAlign w:val="center"/>
          </w:tcPr>
          <w:p>
            <w:r>
              <w:rPr>
                <w:rFonts w:ascii="宋体" w:hAnsi="宋体" w:eastAsia="宋体"/>
              </w:rPr>
              <w:t>D01</w:t>
            </w:r>
          </w:p>
        </w:tc>
        <w:tc>
          <w:tcPr>
            <w:tcW w:type="dxa" w:w="2340"/>
            <w:vAlign w:val="center"/>
          </w:tcPr>
          <w:p>
            <w:r>
              <w:rPr>
                <w:rFonts w:ascii="宋体" w:hAnsi="宋体" w:eastAsia="宋体"/>
              </w:rPr>
              <w:t>项目类/非项目类业务品种完整映射关系。</w:t>
            </w:r>
          </w:p>
        </w:tc>
        <w:tc>
          <w:tcPr>
            <w:tcW w:type="dxa" w:w="2340"/>
            <w:vAlign w:val="center"/>
          </w:tcPr>
          <w:p>
            <w:r>
              <w:rPr>
                <w:rFonts w:ascii="宋体" w:hAnsi="宋体" w:eastAsia="宋体"/>
              </w:rPr>
              <w:t>核算类型、补录字段、计算路径。</w:t>
            </w:r>
          </w:p>
        </w:tc>
        <w:tc>
          <w:tcPr>
            <w:tcW w:type="dxa" w:w="2340"/>
            <w:vAlign w:val="center"/>
          </w:tcPr>
          <w:p>
            <w:r>
              <w:rPr>
                <w:rFonts w:ascii="宋体" w:hAnsi="宋体" w:eastAsia="宋体"/>
              </w:rPr>
              <w:t>由业务侧提供正式映射表，系统改为配置化。</w:t>
            </w:r>
          </w:p>
        </w:tc>
      </w:tr>
      <w:tr>
        <w:tc>
          <w:tcPr>
            <w:tcW w:type="dxa" w:w="2340"/>
            <w:vAlign w:val="center"/>
          </w:tcPr>
          <w:p>
            <w:r>
              <w:rPr>
                <w:rFonts w:ascii="宋体" w:hAnsi="宋体" w:eastAsia="宋体"/>
              </w:rPr>
              <w:t>D02</w:t>
            </w:r>
          </w:p>
        </w:tc>
        <w:tc>
          <w:tcPr>
            <w:tcW w:type="dxa" w:w="2340"/>
            <w:vAlign w:val="center"/>
          </w:tcPr>
          <w:p>
            <w:r>
              <w:rPr>
                <w:rFonts w:ascii="宋体" w:hAnsi="宋体" w:eastAsia="宋体"/>
              </w:rPr>
              <w:t>项目（计算方法待定）在正式核算中的最终处理路径。</w:t>
            </w:r>
          </w:p>
        </w:tc>
        <w:tc>
          <w:tcPr>
            <w:tcW w:type="dxa" w:w="2340"/>
            <w:vAlign w:val="center"/>
          </w:tcPr>
          <w:p>
            <w:r>
              <w:rPr>
                <w:rFonts w:ascii="宋体" w:hAnsi="宋体" w:eastAsia="宋体"/>
              </w:rPr>
              <w:t>项目类无项目信息的计算与报送。</w:t>
            </w:r>
          </w:p>
        </w:tc>
        <w:tc>
          <w:tcPr>
            <w:tcW w:type="dxa" w:w="2340"/>
            <w:vAlign w:val="center"/>
          </w:tcPr>
          <w:p>
            <w:r>
              <w:rPr>
                <w:rFonts w:ascii="宋体" w:hAnsi="宋体" w:eastAsia="宋体"/>
              </w:rPr>
              <w:t>当前原型支持客户经理补录选择；正式规则需业务确认。</w:t>
            </w:r>
          </w:p>
        </w:tc>
      </w:tr>
      <w:tr>
        <w:tc>
          <w:tcPr>
            <w:tcW w:type="dxa" w:w="2340"/>
            <w:vAlign w:val="center"/>
          </w:tcPr>
          <w:p>
            <w:r>
              <w:rPr>
                <w:rFonts w:ascii="宋体" w:hAnsi="宋体" w:eastAsia="宋体"/>
              </w:rPr>
              <w:t>D03</w:t>
            </w:r>
          </w:p>
        </w:tc>
        <w:tc>
          <w:tcPr>
            <w:tcW w:type="dxa" w:w="2340"/>
            <w:vAlign w:val="center"/>
          </w:tcPr>
          <w:p>
            <w:r>
              <w:rPr>
                <w:rFonts w:ascii="宋体" w:hAnsi="宋体" w:eastAsia="宋体"/>
              </w:rPr>
              <w:t>生产信贷台账接口字段、频率、错误码、重试机制。</w:t>
            </w:r>
          </w:p>
        </w:tc>
        <w:tc>
          <w:tcPr>
            <w:tcW w:type="dxa" w:w="2340"/>
            <w:vAlign w:val="center"/>
          </w:tcPr>
          <w:p>
            <w:r>
              <w:rPr>
                <w:rFonts w:ascii="宋体" w:hAnsi="宋体" w:eastAsia="宋体"/>
              </w:rPr>
              <w:t>接口管理、清单识别。</w:t>
            </w:r>
          </w:p>
        </w:tc>
        <w:tc>
          <w:tcPr>
            <w:tcW w:type="dxa" w:w="2340"/>
            <w:vAlign w:val="center"/>
          </w:tcPr>
          <w:p>
            <w:r>
              <w:rPr>
                <w:rFonts w:ascii="宋体" w:hAnsi="宋体" w:eastAsia="宋体"/>
              </w:rPr>
              <w:t>由接口方提供接口文档。</w:t>
            </w:r>
          </w:p>
        </w:tc>
      </w:tr>
      <w:tr>
        <w:tc>
          <w:tcPr>
            <w:tcW w:type="dxa" w:w="2340"/>
            <w:vAlign w:val="center"/>
          </w:tcPr>
          <w:p>
            <w:r>
              <w:rPr>
                <w:rFonts w:ascii="宋体" w:hAnsi="宋体" w:eastAsia="宋体"/>
              </w:rPr>
              <w:t>D04</w:t>
            </w:r>
          </w:p>
        </w:tc>
        <w:tc>
          <w:tcPr>
            <w:tcW w:type="dxa" w:w="2340"/>
            <w:vAlign w:val="center"/>
          </w:tcPr>
          <w:p>
            <w:r>
              <w:rPr>
                <w:rFonts w:ascii="宋体" w:hAnsi="宋体" w:eastAsia="宋体"/>
              </w:rPr>
              <w:t>审批对接状态码和退回后解锁规则。</w:t>
            </w:r>
          </w:p>
        </w:tc>
        <w:tc>
          <w:tcPr>
            <w:tcW w:type="dxa" w:w="2340"/>
            <w:vAlign w:val="center"/>
          </w:tcPr>
          <w:p>
            <w:r>
              <w:rPr>
                <w:rFonts w:ascii="宋体" w:hAnsi="宋体" w:eastAsia="宋体"/>
              </w:rPr>
              <w:t>数据审核、状态流转。</w:t>
            </w:r>
          </w:p>
        </w:tc>
        <w:tc>
          <w:tcPr>
            <w:tcW w:type="dxa" w:w="2340"/>
            <w:vAlign w:val="center"/>
          </w:tcPr>
          <w:p>
            <w:r>
              <w:rPr>
                <w:rFonts w:ascii="宋体" w:hAnsi="宋体" w:eastAsia="宋体"/>
              </w:rPr>
              <w:t>与绿金系统审批模块确认。</w:t>
            </w:r>
          </w:p>
        </w:tc>
      </w:tr>
      <w:tr>
        <w:tc>
          <w:tcPr>
            <w:tcW w:type="dxa" w:w="2340"/>
            <w:vAlign w:val="center"/>
          </w:tcPr>
          <w:p>
            <w:r>
              <w:rPr>
                <w:rFonts w:ascii="宋体" w:hAnsi="宋体" w:eastAsia="宋体"/>
              </w:rPr>
              <w:t>D05</w:t>
            </w:r>
          </w:p>
        </w:tc>
        <w:tc>
          <w:tcPr>
            <w:tcW w:type="dxa" w:w="2340"/>
            <w:vAlign w:val="center"/>
          </w:tcPr>
          <w:p>
            <w:r>
              <w:rPr>
                <w:rFonts w:ascii="宋体" w:hAnsi="宋体" w:eastAsia="宋体"/>
              </w:rPr>
              <w:t>Excel 模板导入/导出是否作为接口兜底纳入本期。</w:t>
            </w:r>
          </w:p>
        </w:tc>
        <w:tc>
          <w:tcPr>
            <w:tcW w:type="dxa" w:w="2340"/>
            <w:vAlign w:val="center"/>
          </w:tcPr>
          <w:p>
            <w:r>
              <w:rPr>
                <w:rFonts w:ascii="宋体" w:hAnsi="宋体" w:eastAsia="宋体"/>
              </w:rPr>
              <w:t>数据接入与运维。</w:t>
            </w:r>
          </w:p>
        </w:tc>
        <w:tc>
          <w:tcPr>
            <w:tcW w:type="dxa" w:w="2340"/>
            <w:vAlign w:val="center"/>
          </w:tcPr>
          <w:p>
            <w:r>
              <w:rPr>
                <w:rFonts w:ascii="宋体" w:hAnsi="宋体" w:eastAsia="宋体"/>
              </w:rPr>
              <w:t>若纳入需补字段模板和校验规则。</w:t>
            </w:r>
          </w:p>
        </w:tc>
      </w:tr>
      <w:tr>
        <w:tc>
          <w:tcPr>
            <w:tcW w:type="dxa" w:w="2340"/>
            <w:vAlign w:val="center"/>
          </w:tcPr>
          <w:p>
            <w:r>
              <w:rPr>
                <w:rFonts w:ascii="宋体" w:hAnsi="宋体" w:eastAsia="宋体"/>
              </w:rPr>
              <w:t>D06</w:t>
            </w:r>
          </w:p>
        </w:tc>
        <w:tc>
          <w:tcPr>
            <w:tcW w:type="dxa" w:w="2340"/>
            <w:vAlign w:val="center"/>
          </w:tcPr>
          <w:p>
            <w:r>
              <w:rPr>
                <w:rFonts w:ascii="宋体" w:hAnsi="宋体" w:eastAsia="宋体"/>
              </w:rPr>
              <w:t>监管报告模板、管理报告模板、导出字段范围。</w:t>
            </w:r>
          </w:p>
        </w:tc>
        <w:tc>
          <w:tcPr>
            <w:tcW w:type="dxa" w:w="2340"/>
            <w:vAlign w:val="center"/>
          </w:tcPr>
          <w:p>
            <w:r>
              <w:rPr>
                <w:rFonts w:ascii="宋体" w:hAnsi="宋体" w:eastAsia="宋体"/>
              </w:rPr>
              <w:t>生成报告。</w:t>
            </w:r>
          </w:p>
        </w:tc>
        <w:tc>
          <w:tcPr>
            <w:tcW w:type="dxa" w:w="2340"/>
            <w:vAlign w:val="center"/>
          </w:tcPr>
          <w:p>
            <w:r>
              <w:rPr>
                <w:rFonts w:ascii="宋体" w:hAnsi="宋体" w:eastAsia="宋体"/>
              </w:rPr>
              <w:t>由华夏银行提供正式模板。</w:t>
            </w:r>
          </w:p>
        </w:tc>
      </w:tr>
      <w:tr>
        <w:tc>
          <w:tcPr>
            <w:tcW w:type="dxa" w:w="2340"/>
            <w:vAlign w:val="center"/>
          </w:tcPr>
          <w:p>
            <w:r>
              <w:rPr>
                <w:rFonts w:ascii="宋体" w:hAnsi="宋体" w:eastAsia="宋体"/>
              </w:rPr>
              <w:t>D07</w:t>
            </w:r>
          </w:p>
        </w:tc>
        <w:tc>
          <w:tcPr>
            <w:tcW w:type="dxa" w:w="2340"/>
            <w:vAlign w:val="center"/>
          </w:tcPr>
          <w:p>
            <w:r>
              <w:rPr>
                <w:rFonts w:ascii="宋体" w:hAnsi="宋体" w:eastAsia="宋体"/>
              </w:rPr>
              <w:t>能源法、产品法正式计算公式和行业模板字段。</w:t>
            </w:r>
          </w:p>
        </w:tc>
        <w:tc>
          <w:tcPr>
            <w:tcW w:type="dxa" w:w="2340"/>
            <w:vAlign w:val="center"/>
          </w:tcPr>
          <w:p>
            <w:r>
              <w:rPr>
                <w:rFonts w:ascii="宋体" w:hAnsi="宋体" w:eastAsia="宋体"/>
              </w:rPr>
              <w:t>补录、排放计算。</w:t>
            </w:r>
          </w:p>
        </w:tc>
        <w:tc>
          <w:tcPr>
            <w:tcW w:type="dxa" w:w="2340"/>
            <w:vAlign w:val="center"/>
          </w:tcPr>
          <w:p>
            <w:r>
              <w:rPr>
                <w:rFonts w:ascii="宋体" w:hAnsi="宋体" w:eastAsia="宋体"/>
              </w:rPr>
              <w:t>以指南和业务确认版模板为准替换演示估算。</w:t>
            </w:r>
          </w:p>
        </w:tc>
      </w:tr>
      <w:tr>
        <w:tc>
          <w:tcPr>
            <w:tcW w:type="dxa" w:w="2340"/>
            <w:vAlign w:val="center"/>
          </w:tcPr>
          <w:p>
            <w:r>
              <w:rPr>
                <w:rFonts w:ascii="宋体" w:hAnsi="宋体" w:eastAsia="宋体"/>
              </w:rPr>
              <w:t>D08</w:t>
            </w:r>
          </w:p>
        </w:tc>
        <w:tc>
          <w:tcPr>
            <w:tcW w:type="dxa" w:w="2340"/>
            <w:vAlign w:val="center"/>
          </w:tcPr>
          <w:p>
            <w:r>
              <w:rPr>
                <w:rFonts w:ascii="宋体" w:hAnsi="宋体" w:eastAsia="宋体"/>
              </w:rPr>
              <w:t>企业碳账户更正策略。</w:t>
            </w:r>
          </w:p>
        </w:tc>
        <w:tc>
          <w:tcPr>
            <w:tcW w:type="dxa" w:w="2340"/>
            <w:vAlign w:val="center"/>
          </w:tcPr>
          <w:p>
            <w:r>
              <w:rPr>
                <w:rFonts w:ascii="宋体" w:hAnsi="宋体" w:eastAsia="宋体"/>
              </w:rPr>
              <w:t>账户记录归集与历史追溯。</w:t>
            </w:r>
          </w:p>
        </w:tc>
        <w:tc>
          <w:tcPr>
            <w:tcW w:type="dxa" w:w="2340"/>
            <w:vAlign w:val="center"/>
          </w:tcPr>
          <w:p>
            <w:r>
              <w:rPr>
                <w:rFonts w:ascii="宋体" w:hAnsi="宋体" w:eastAsia="宋体"/>
              </w:rPr>
              <w:t>确认重算后是覆盖原记录、追加更正记录还是作废重记。</w:t>
            </w:r>
          </w:p>
        </w:tc>
      </w:tr>
      <w:tr>
        <w:tc>
          <w:tcPr>
            <w:tcW w:type="dxa" w:w="2340"/>
            <w:vAlign w:val="center"/>
          </w:tcPr>
          <w:p>
            <w:r>
              <w:rPr>
                <w:rFonts w:ascii="宋体" w:hAnsi="宋体" w:eastAsia="宋体"/>
              </w:rPr>
              <w:t>D09</w:t>
            </w:r>
          </w:p>
        </w:tc>
        <w:tc>
          <w:tcPr>
            <w:tcW w:type="dxa" w:w="2340"/>
            <w:vAlign w:val="center"/>
          </w:tcPr>
          <w:p>
            <w:r>
              <w:rPr>
                <w:rFonts w:ascii="宋体" w:hAnsi="宋体" w:eastAsia="宋体"/>
              </w:rPr>
              <w:t>生产文件服务与附件留存策略。</w:t>
            </w:r>
          </w:p>
        </w:tc>
        <w:tc>
          <w:tcPr>
            <w:tcW w:type="dxa" w:w="2340"/>
            <w:vAlign w:val="center"/>
          </w:tcPr>
          <w:p>
            <w:r>
              <w:rPr>
                <w:rFonts w:ascii="宋体" w:hAnsi="宋体" w:eastAsia="宋体"/>
              </w:rPr>
              <w:t>补录附件、审核佐证。</w:t>
            </w:r>
          </w:p>
        </w:tc>
        <w:tc>
          <w:tcPr>
            <w:tcW w:type="dxa" w:w="2340"/>
            <w:vAlign w:val="center"/>
          </w:tcPr>
          <w:p>
            <w:r>
              <w:rPr>
                <w:rFonts w:ascii="宋体" w:hAnsi="宋体" w:eastAsia="宋体"/>
              </w:rPr>
              <w:t>确认文件服务接口和安全要求。</w:t>
            </w:r>
          </w:p>
        </w:tc>
      </w:tr>
      <w:tr>
        <w:tc>
          <w:tcPr>
            <w:tcW w:type="dxa" w:w="2340"/>
            <w:vAlign w:val="center"/>
          </w:tcPr>
          <w:p>
            <w:r>
              <w:rPr>
                <w:rFonts w:ascii="宋体" w:hAnsi="宋体" w:eastAsia="宋体"/>
              </w:rPr>
              <w:t>D10</w:t>
            </w:r>
          </w:p>
        </w:tc>
        <w:tc>
          <w:tcPr>
            <w:tcW w:type="dxa" w:w="2340"/>
            <w:vAlign w:val="center"/>
          </w:tcPr>
          <w:p>
            <w:r>
              <w:rPr>
                <w:rFonts w:ascii="宋体" w:hAnsi="宋体" w:eastAsia="宋体"/>
              </w:rPr>
              <w:t>系统管理员角色是否单独配置。</w:t>
            </w:r>
          </w:p>
        </w:tc>
        <w:tc>
          <w:tcPr>
            <w:tcW w:type="dxa" w:w="2340"/>
            <w:vAlign w:val="center"/>
          </w:tcPr>
          <w:p>
            <w:r>
              <w:rPr>
                <w:rFonts w:ascii="宋体" w:hAnsi="宋体" w:eastAsia="宋体"/>
              </w:rPr>
              <w:t>因子库、映射、接口配置权限。</w:t>
            </w:r>
          </w:p>
        </w:tc>
        <w:tc>
          <w:tcPr>
            <w:tcW w:type="dxa" w:w="2340"/>
            <w:vAlign w:val="center"/>
          </w:tcPr>
          <w:p>
            <w:r>
              <w:rPr>
                <w:rFonts w:ascii="宋体" w:hAnsi="宋体" w:eastAsia="宋体"/>
              </w:rPr>
              <w:t>由绿金系统权限模型确定。</w:t>
            </w:r>
          </w:p>
        </w:tc>
      </w:tr>
    </w:tbl>
    <w:p>
      <w:pPr>
        <w:pStyle w:val="Heading2"/>
      </w:pPr>
      <w:r>
        <w:rPr>
          <w:rFonts w:ascii="黑体" w:hAnsi="黑体" w:eastAsia="黑体"/>
        </w:rPr>
        <w:t>4.2 功能编号索引</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宋体" w:hAnsi="宋体" w:eastAsia="宋体"/>
                <w:b/>
              </w:rPr>
              <w:t>一级模块</w:t>
            </w:r>
          </w:p>
        </w:tc>
        <w:tc>
          <w:tcPr>
            <w:tcW w:type="dxa" w:w="4680"/>
            <w:vAlign w:val="center"/>
            <w:shd w:fill="D9EAF7"/>
          </w:tcPr>
          <w:p>
            <w:r>
              <w:rPr>
                <w:rFonts w:ascii="宋体" w:hAnsi="宋体" w:eastAsia="宋体"/>
                <w:b/>
              </w:rPr>
              <w:t>功能编号范围</w:t>
            </w:r>
          </w:p>
        </w:tc>
      </w:tr>
      <w:tr>
        <w:tc>
          <w:tcPr>
            <w:tcW w:type="dxa" w:w="4680"/>
            <w:vAlign w:val="center"/>
          </w:tcPr>
          <w:p>
            <w:r>
              <w:rPr>
                <w:rFonts w:ascii="宋体" w:hAnsi="宋体" w:eastAsia="宋体"/>
              </w:rPr>
              <w:t>核算任务管理</w:t>
            </w:r>
          </w:p>
        </w:tc>
        <w:tc>
          <w:tcPr>
            <w:tcW w:type="dxa" w:w="4680"/>
            <w:vAlign w:val="center"/>
          </w:tcPr>
          <w:p>
            <w:r>
              <w:rPr>
                <w:rFonts w:ascii="宋体" w:hAnsi="宋体" w:eastAsia="宋体"/>
              </w:rPr>
              <w:t>CR21093-A_ICC_GN0101～0103</w:t>
            </w:r>
          </w:p>
        </w:tc>
      </w:tr>
      <w:tr>
        <w:tc>
          <w:tcPr>
            <w:tcW w:type="dxa" w:w="4680"/>
            <w:vAlign w:val="center"/>
          </w:tcPr>
          <w:p>
            <w:r>
              <w:rPr>
                <w:rFonts w:ascii="宋体" w:hAnsi="宋体" w:eastAsia="宋体"/>
              </w:rPr>
              <w:t>接口管理与信贷台账同步</w:t>
            </w:r>
          </w:p>
        </w:tc>
        <w:tc>
          <w:tcPr>
            <w:tcW w:type="dxa" w:w="4680"/>
            <w:vAlign w:val="center"/>
          </w:tcPr>
          <w:p>
            <w:r>
              <w:rPr>
                <w:rFonts w:ascii="宋体" w:hAnsi="宋体" w:eastAsia="宋体"/>
              </w:rPr>
              <w:t>CR21093-A_ICC_GN0201～0203</w:t>
            </w:r>
          </w:p>
        </w:tc>
      </w:tr>
      <w:tr>
        <w:tc>
          <w:tcPr>
            <w:tcW w:type="dxa" w:w="4680"/>
            <w:vAlign w:val="center"/>
          </w:tcPr>
          <w:p>
            <w:r>
              <w:rPr>
                <w:rFonts w:ascii="宋体" w:hAnsi="宋体" w:eastAsia="宋体"/>
              </w:rPr>
              <w:t>清单识别</w:t>
            </w:r>
          </w:p>
        </w:tc>
        <w:tc>
          <w:tcPr>
            <w:tcW w:type="dxa" w:w="4680"/>
            <w:vAlign w:val="center"/>
          </w:tcPr>
          <w:p>
            <w:r>
              <w:rPr>
                <w:rFonts w:ascii="宋体" w:hAnsi="宋体" w:eastAsia="宋体"/>
              </w:rPr>
              <w:t>CR21093-A_ICC_GN0301～0305</w:t>
            </w:r>
          </w:p>
        </w:tc>
      </w:tr>
      <w:tr>
        <w:tc>
          <w:tcPr>
            <w:tcW w:type="dxa" w:w="4680"/>
            <w:vAlign w:val="center"/>
          </w:tcPr>
          <w:p>
            <w:r>
              <w:rPr>
                <w:rFonts w:ascii="宋体" w:hAnsi="宋体" w:eastAsia="宋体"/>
              </w:rPr>
              <w:t>对象边界与正式清单</w:t>
            </w:r>
          </w:p>
        </w:tc>
        <w:tc>
          <w:tcPr>
            <w:tcW w:type="dxa" w:w="4680"/>
            <w:vAlign w:val="center"/>
          </w:tcPr>
          <w:p>
            <w:r>
              <w:rPr>
                <w:rFonts w:ascii="宋体" w:hAnsi="宋体" w:eastAsia="宋体"/>
              </w:rPr>
              <w:t>CR21093-A_ICC_GN0401～0403</w:t>
            </w:r>
          </w:p>
        </w:tc>
      </w:tr>
      <w:tr>
        <w:tc>
          <w:tcPr>
            <w:tcW w:type="dxa" w:w="4680"/>
            <w:vAlign w:val="center"/>
          </w:tcPr>
          <w:p>
            <w:r>
              <w:rPr>
                <w:rFonts w:ascii="宋体" w:hAnsi="宋体" w:eastAsia="宋体"/>
              </w:rPr>
              <w:t>数据采集</w:t>
            </w:r>
          </w:p>
        </w:tc>
        <w:tc>
          <w:tcPr>
            <w:tcW w:type="dxa" w:w="4680"/>
            <w:vAlign w:val="center"/>
          </w:tcPr>
          <w:p>
            <w:r>
              <w:rPr>
                <w:rFonts w:ascii="宋体" w:hAnsi="宋体" w:eastAsia="宋体"/>
              </w:rPr>
              <w:t>CR21093-A_ICC_GN0501～0505</w:t>
            </w:r>
          </w:p>
        </w:tc>
      </w:tr>
      <w:tr>
        <w:tc>
          <w:tcPr>
            <w:tcW w:type="dxa" w:w="4680"/>
            <w:vAlign w:val="center"/>
          </w:tcPr>
          <w:p>
            <w:r>
              <w:rPr>
                <w:rFonts w:ascii="宋体" w:hAnsi="宋体" w:eastAsia="宋体"/>
              </w:rPr>
              <w:t>数据补录</w:t>
            </w:r>
          </w:p>
        </w:tc>
        <w:tc>
          <w:tcPr>
            <w:tcW w:type="dxa" w:w="4680"/>
            <w:vAlign w:val="center"/>
          </w:tcPr>
          <w:p>
            <w:r>
              <w:rPr>
                <w:rFonts w:ascii="宋体" w:hAnsi="宋体" w:eastAsia="宋体"/>
              </w:rPr>
              <w:t>CR21093-A_ICC_GN0601～0606</w:t>
            </w:r>
          </w:p>
        </w:tc>
      </w:tr>
      <w:tr>
        <w:tc>
          <w:tcPr>
            <w:tcW w:type="dxa" w:w="4680"/>
            <w:vAlign w:val="center"/>
          </w:tcPr>
          <w:p>
            <w:r>
              <w:rPr>
                <w:rFonts w:ascii="宋体" w:hAnsi="宋体" w:eastAsia="宋体"/>
              </w:rPr>
              <w:t>数据审核</w:t>
            </w:r>
          </w:p>
        </w:tc>
        <w:tc>
          <w:tcPr>
            <w:tcW w:type="dxa" w:w="4680"/>
            <w:vAlign w:val="center"/>
          </w:tcPr>
          <w:p>
            <w:r>
              <w:rPr>
                <w:rFonts w:ascii="宋体" w:hAnsi="宋体" w:eastAsia="宋体"/>
              </w:rPr>
              <w:t>CR21093-A_ICC_GN0701～0704</w:t>
            </w:r>
          </w:p>
        </w:tc>
      </w:tr>
      <w:tr>
        <w:tc>
          <w:tcPr>
            <w:tcW w:type="dxa" w:w="4680"/>
            <w:vAlign w:val="center"/>
          </w:tcPr>
          <w:p>
            <w:r>
              <w:rPr>
                <w:rFonts w:ascii="宋体" w:hAnsi="宋体" w:eastAsia="宋体"/>
              </w:rPr>
              <w:t>排放计算与结果确认</w:t>
            </w:r>
          </w:p>
        </w:tc>
        <w:tc>
          <w:tcPr>
            <w:tcW w:type="dxa" w:w="4680"/>
            <w:vAlign w:val="center"/>
          </w:tcPr>
          <w:p>
            <w:r>
              <w:rPr>
                <w:rFonts w:ascii="宋体" w:hAnsi="宋体" w:eastAsia="宋体"/>
              </w:rPr>
              <w:t>CR21093-A_ICC_GN0801～0803</w:t>
            </w:r>
          </w:p>
        </w:tc>
      </w:tr>
      <w:tr>
        <w:tc>
          <w:tcPr>
            <w:tcW w:type="dxa" w:w="4680"/>
            <w:vAlign w:val="center"/>
          </w:tcPr>
          <w:p>
            <w:r>
              <w:rPr>
                <w:rFonts w:ascii="宋体" w:hAnsi="宋体" w:eastAsia="宋体"/>
              </w:rPr>
              <w:t>生成报告</w:t>
            </w:r>
          </w:p>
        </w:tc>
        <w:tc>
          <w:tcPr>
            <w:tcW w:type="dxa" w:w="4680"/>
            <w:vAlign w:val="center"/>
          </w:tcPr>
          <w:p>
            <w:r>
              <w:rPr>
                <w:rFonts w:ascii="宋体" w:hAnsi="宋体" w:eastAsia="宋体"/>
              </w:rPr>
              <w:t>CR21093-A_ICC_GN0901～0902</w:t>
            </w:r>
          </w:p>
        </w:tc>
      </w:tr>
      <w:tr>
        <w:tc>
          <w:tcPr>
            <w:tcW w:type="dxa" w:w="4680"/>
            <w:vAlign w:val="center"/>
          </w:tcPr>
          <w:p>
            <w:r>
              <w:rPr>
                <w:rFonts w:ascii="宋体" w:hAnsi="宋体" w:eastAsia="宋体"/>
              </w:rPr>
              <w:t>排放因子库</w:t>
            </w:r>
          </w:p>
        </w:tc>
        <w:tc>
          <w:tcPr>
            <w:tcW w:type="dxa" w:w="4680"/>
            <w:vAlign w:val="center"/>
          </w:tcPr>
          <w:p>
            <w:r>
              <w:rPr>
                <w:rFonts w:ascii="宋体" w:hAnsi="宋体" w:eastAsia="宋体"/>
              </w:rPr>
              <w:t>CR21093-A_ICC_GN1001～1003</w:t>
            </w:r>
          </w:p>
        </w:tc>
      </w:tr>
      <w:tr>
        <w:tc>
          <w:tcPr>
            <w:tcW w:type="dxa" w:w="4680"/>
            <w:vAlign w:val="center"/>
          </w:tcPr>
          <w:p>
            <w:r>
              <w:rPr>
                <w:rFonts w:ascii="宋体" w:hAnsi="宋体" w:eastAsia="宋体"/>
              </w:rPr>
              <w:t>企业碳账户</w:t>
            </w:r>
          </w:p>
        </w:tc>
        <w:tc>
          <w:tcPr>
            <w:tcW w:type="dxa" w:w="4680"/>
            <w:vAlign w:val="center"/>
          </w:tcPr>
          <w:p>
            <w:r>
              <w:rPr>
                <w:rFonts w:ascii="宋体" w:hAnsi="宋体" w:eastAsia="宋体"/>
              </w:rPr>
              <w:t>CR21093-A_ICC_GN1101～1104</w:t>
            </w:r>
          </w:p>
        </w:tc>
      </w:tr>
    </w:tbl>
    <w:p>
      <w:r>
        <w:rPr>
          <w:rFonts w:ascii="宋体" w:hAnsi="宋体" w:eastAsia="宋体"/>
          <w:b/>
          <w:color w:val="C00000"/>
        </w:rPr>
        <w:t>说明：本文档按当前原型和已确认需求编写；黄色高亮事项须经业务、科技或接口方确认后方可作为正式开发口径。</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宋体" w:hAnsi="宋体"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