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90AA1"/>
    <w:p w14:paraId="183B23A8"/>
    <w:p w14:paraId="5DE88D8E"/>
    <w:p w14:paraId="33E2BB56"/>
    <w:p w14:paraId="1387EC39"/>
    <w:p w14:paraId="09CDE012"/>
    <w:p w14:paraId="6AFBF934">
      <w:pPr>
        <w:jc w:val="center"/>
      </w:pPr>
      <w:r>
        <w:rPr>
          <w:rFonts w:ascii="宋体" w:hAnsi="宋体" w:eastAsia="宋体"/>
          <w:b/>
          <w:color w:val="142528"/>
          <w:sz w:val="44"/>
        </w:rPr>
        <w:t>气候风险压测</w:t>
      </w:r>
      <w:r>
        <w:rPr>
          <w:rFonts w:ascii="宋体" w:hAnsi="宋体" w:eastAsia="宋体"/>
          <w:b/>
          <w:color w:val="142528"/>
          <w:sz w:val="44"/>
        </w:rPr>
        <w:br w:type="textWrapping"/>
      </w:r>
      <w:r>
        <w:rPr>
          <w:rFonts w:ascii="宋体" w:hAnsi="宋体" w:eastAsia="宋体"/>
          <w:b/>
          <w:color w:val="142528"/>
          <w:sz w:val="44"/>
        </w:rPr>
        <w:t>需求说明书</w:t>
      </w:r>
    </w:p>
    <w:p w14:paraId="5D3C697A">
      <w:pPr>
        <w:jc w:val="center"/>
      </w:pPr>
      <w:r>
        <w:rPr>
          <w:rFonts w:ascii="宋体" w:hAnsi="宋体" w:eastAsia="宋体"/>
          <w:b w:val="0"/>
          <w:color w:val="142528"/>
          <w:sz w:val="24"/>
        </w:rPr>
        <w:t>华夏银行绿金系统 · 原型 v1.0</w:t>
      </w:r>
    </w:p>
    <w:p w14:paraId="67DDA4B2">
      <w:pPr>
        <w:jc w:val="center"/>
      </w:pPr>
      <w:r>
        <w:rPr>
          <w:rFonts w:ascii="宋体" w:hAnsi="宋体" w:eastAsia="宋体"/>
          <w:b w:val="0"/>
          <w:color w:val="142528"/>
          <w:sz w:val="24"/>
        </w:rPr>
        <w:t>2026年7月</w:t>
      </w:r>
    </w:p>
    <w:p w14:paraId="235D537B">
      <w:r>
        <w:br w:type="page"/>
      </w:r>
    </w:p>
    <w:p w14:paraId="4C4E2A3C">
      <w:pPr>
        <w:pStyle w:val="3"/>
      </w:pPr>
      <w:r>
        <w:rPr>
          <w:rFonts w:ascii="宋体" w:hAnsi="宋体" w:eastAsia="宋体"/>
          <w:b/>
          <w:color w:val="142528"/>
          <w:sz w:val="32"/>
        </w:rPr>
        <w:t>1. 文档说明</w:t>
      </w:r>
    </w:p>
    <w:p w14:paraId="05D0DD63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本文档基于气候风险压测系统（完整版原型 v1.0）梳理现有菜单与功能操作，描述各功能点的业务目的与实现需求，并附系统最新界面截图，供需求评审、验收测试及后续开发参考。</w:t>
      </w:r>
    </w:p>
    <w:p w14:paraId="4BB7D374">
      <w:pPr>
        <w:pStyle w:val="3"/>
      </w:pPr>
      <w:r>
        <w:rPr>
          <w:rFonts w:ascii="宋体" w:hAnsi="宋体" w:eastAsia="宋体"/>
          <w:b/>
          <w:color w:val="142528"/>
          <w:sz w:val="32"/>
        </w:rPr>
        <w:t>2. 功能清单</w:t>
      </w:r>
    </w:p>
    <w:p w14:paraId="39278221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下表汇总系统一级菜单、功能操作及简要说明。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29C9FEE8">
        <w:tc>
          <w:tcPr>
            <w:tcW w:w="2257" w:type="dxa"/>
          </w:tcPr>
          <w:p w14:paraId="75FF05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142528"/>
                <w:sz w:val="20"/>
              </w:rPr>
              <w:t>序号</w:t>
            </w:r>
          </w:p>
        </w:tc>
        <w:tc>
          <w:tcPr>
            <w:tcW w:w="2257" w:type="dxa"/>
          </w:tcPr>
          <w:p w14:paraId="635B33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142528"/>
                <w:sz w:val="20"/>
              </w:rPr>
              <w:t>系统菜单</w:t>
            </w:r>
          </w:p>
        </w:tc>
        <w:tc>
          <w:tcPr>
            <w:tcW w:w="2257" w:type="dxa"/>
          </w:tcPr>
          <w:p w14:paraId="2D5002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142528"/>
                <w:sz w:val="20"/>
              </w:rPr>
              <w:t>功能名称</w:t>
            </w:r>
          </w:p>
        </w:tc>
        <w:tc>
          <w:tcPr>
            <w:tcW w:w="2257" w:type="dxa"/>
          </w:tcPr>
          <w:p w14:paraId="635E0E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142528"/>
                <w:sz w:val="20"/>
              </w:rPr>
              <w:t>功能说明</w:t>
            </w:r>
          </w:p>
        </w:tc>
      </w:tr>
      <w:tr w14:paraId="15A6B3F6">
        <w:tc>
          <w:tcPr>
            <w:tcW w:w="2257" w:type="dxa"/>
          </w:tcPr>
          <w:p w14:paraId="184FDD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1</w:t>
            </w:r>
          </w:p>
        </w:tc>
        <w:tc>
          <w:tcPr>
            <w:tcW w:w="2257" w:type="dxa"/>
          </w:tcPr>
          <w:p w14:paraId="005E87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55686D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新建任务</w:t>
            </w:r>
          </w:p>
        </w:tc>
        <w:tc>
          <w:tcPr>
            <w:tcW w:w="2257" w:type="dxa"/>
          </w:tcPr>
          <w:p w14:paraId="7BF28D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用于创建新的数据处理任务，录入任务名称、报告年度、贷款类型、贷款地区、压测目的及涉及行业等基本信息，为后续同步信贷与财务数据建立压测样本范围。</w:t>
            </w:r>
          </w:p>
        </w:tc>
      </w:tr>
      <w:tr w14:paraId="7D83A973">
        <w:tc>
          <w:tcPr>
            <w:tcW w:w="2257" w:type="dxa"/>
          </w:tcPr>
          <w:p w14:paraId="45F1CE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2</w:t>
            </w:r>
          </w:p>
        </w:tc>
        <w:tc>
          <w:tcPr>
            <w:tcW w:w="2257" w:type="dxa"/>
          </w:tcPr>
          <w:p w14:paraId="340326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022E6F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查询 / 重置</w:t>
            </w:r>
          </w:p>
        </w:tc>
        <w:tc>
          <w:tcPr>
            <w:tcW w:w="2257" w:type="dxa"/>
          </w:tcPr>
          <w:p w14:paraId="3789DB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支持按任务名称、报告年度、贷款类型、贷款地区筛选数据处理任务列表，便于管理员快速定位目标任务；重置可清空筛选条件恢复全量列表。</w:t>
            </w:r>
          </w:p>
        </w:tc>
      </w:tr>
      <w:tr w14:paraId="54AEFFB3">
        <w:tc>
          <w:tcPr>
            <w:tcW w:w="2257" w:type="dxa"/>
          </w:tcPr>
          <w:p w14:paraId="2196D0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3</w:t>
            </w:r>
          </w:p>
        </w:tc>
        <w:tc>
          <w:tcPr>
            <w:tcW w:w="2257" w:type="dxa"/>
          </w:tcPr>
          <w:p w14:paraId="711D59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475991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查看 / 编辑 / 删除</w:t>
            </w:r>
          </w:p>
        </w:tc>
        <w:tc>
          <w:tcPr>
            <w:tcW w:w="2257" w:type="dxa"/>
          </w:tcPr>
          <w:p w14:paraId="6390EF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查看以只读方式浏览任务详情与同步结果；编辑可修改任务基本信息或继续处理数据；删除用于清理草稿或不再使用的任务记录。</w:t>
            </w:r>
          </w:p>
        </w:tc>
      </w:tr>
      <w:tr w14:paraId="26856820">
        <w:tc>
          <w:tcPr>
            <w:tcW w:w="2257" w:type="dxa"/>
          </w:tcPr>
          <w:p w14:paraId="1640EC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4</w:t>
            </w:r>
          </w:p>
        </w:tc>
        <w:tc>
          <w:tcPr>
            <w:tcW w:w="2257" w:type="dxa"/>
          </w:tcPr>
          <w:p w14:paraId="54DCF1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5B8CB0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同步贷款数据</w:t>
            </w:r>
          </w:p>
        </w:tc>
        <w:tc>
          <w:tcPr>
            <w:tcW w:w="2257" w:type="dxa"/>
          </w:tcPr>
          <w:p w14:paraId="6AEC04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从信贷系统按任务概览中的贷款地区、报告年度、涉及行业、贷款类型拉取高碳行业客户贷款样本，生成客户基础信息表初始数据。</w:t>
            </w:r>
          </w:p>
        </w:tc>
      </w:tr>
      <w:tr w14:paraId="04AED979">
        <w:tc>
          <w:tcPr>
            <w:tcW w:w="2257" w:type="dxa"/>
          </w:tcPr>
          <w:p w14:paraId="54CDBD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5</w:t>
            </w:r>
          </w:p>
        </w:tc>
        <w:tc>
          <w:tcPr>
            <w:tcW w:w="2257" w:type="dxa"/>
          </w:tcPr>
          <w:p w14:paraId="1C8A0F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2771ED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同步财务数据</w:t>
            </w:r>
          </w:p>
        </w:tc>
        <w:tc>
          <w:tcPr>
            <w:tcW w:w="2257" w:type="dxa"/>
          </w:tcPr>
          <w:p w14:paraId="3A4AAA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在贷款数据同步完成后，从财务系统补充客户收入、利润、温室气体排放等字段，支撑后续碳排放与财务传导计算。</w:t>
            </w:r>
          </w:p>
        </w:tc>
      </w:tr>
      <w:tr w14:paraId="7347B133">
        <w:tc>
          <w:tcPr>
            <w:tcW w:w="2257" w:type="dxa"/>
          </w:tcPr>
          <w:p w14:paraId="25C5E1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6</w:t>
            </w:r>
          </w:p>
        </w:tc>
        <w:tc>
          <w:tcPr>
            <w:tcW w:w="2257" w:type="dxa"/>
          </w:tcPr>
          <w:p w14:paraId="696FF8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51397C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同步内部PD数据</w:t>
            </w:r>
          </w:p>
        </w:tc>
        <w:tc>
          <w:tcPr>
            <w:tcW w:w="2257" w:type="dxa"/>
          </w:tcPr>
          <w:p w14:paraId="76CA64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针对行内压测场景，从内部系统同步客户 PD、LGD 等风险参数，为后续 PD/LGD 计算步骤提供行内口径数据。</w:t>
            </w:r>
          </w:p>
        </w:tc>
      </w:tr>
      <w:tr w14:paraId="34FAFE61">
        <w:tc>
          <w:tcPr>
            <w:tcW w:w="2257" w:type="dxa"/>
          </w:tcPr>
          <w:p w14:paraId="0EDB66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7</w:t>
            </w:r>
          </w:p>
        </w:tc>
        <w:tc>
          <w:tcPr>
            <w:tcW w:w="2257" w:type="dxa"/>
          </w:tcPr>
          <w:p w14:paraId="62869D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0C5ECE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状态筛选</w:t>
            </w:r>
          </w:p>
        </w:tc>
        <w:tc>
          <w:tcPr>
            <w:tcW w:w="2257" w:type="dxa"/>
          </w:tcPr>
          <w:p w14:paraId="3E0FB4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按可使用、需计算、无法处理、已排除等状态筛选客户样本，便于聚焦待处理或异常数据。</w:t>
            </w:r>
          </w:p>
        </w:tc>
      </w:tr>
      <w:tr w14:paraId="02304510">
        <w:tc>
          <w:tcPr>
            <w:tcW w:w="2257" w:type="dxa"/>
          </w:tcPr>
          <w:p w14:paraId="2E2509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8</w:t>
            </w:r>
          </w:p>
        </w:tc>
        <w:tc>
          <w:tcPr>
            <w:tcW w:w="2257" w:type="dxa"/>
          </w:tcPr>
          <w:p w14:paraId="396E23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05A2B0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 / 导入客户基础信息</w:t>
            </w:r>
          </w:p>
        </w:tc>
        <w:tc>
          <w:tcPr>
            <w:tcW w:w="2257" w:type="dxa"/>
          </w:tcPr>
          <w:p w14:paraId="3B0961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导出当前客户基础信息表用于线下核对或补录；导入可将补录后的 Excel 结果回写系统，更新样本可用状态。</w:t>
            </w:r>
          </w:p>
        </w:tc>
      </w:tr>
      <w:tr w14:paraId="35BAF8FC">
        <w:tc>
          <w:tcPr>
            <w:tcW w:w="2257" w:type="dxa"/>
          </w:tcPr>
          <w:p w14:paraId="016827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9</w:t>
            </w:r>
          </w:p>
        </w:tc>
        <w:tc>
          <w:tcPr>
            <w:tcW w:w="2257" w:type="dxa"/>
          </w:tcPr>
          <w:p w14:paraId="125505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0E67B5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编辑温室气体排放数据</w:t>
            </w:r>
          </w:p>
        </w:tc>
        <w:tc>
          <w:tcPr>
            <w:tcW w:w="2257" w:type="dxa"/>
          </w:tcPr>
          <w:p w14:paraId="045D5A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对尚未完成的数据处理任务，支持手工维护或修正客户温室气体排放量，满足碳排放测算对排放因子的输入要求。</w:t>
            </w:r>
          </w:p>
        </w:tc>
      </w:tr>
      <w:tr w14:paraId="452E4193">
        <w:tc>
          <w:tcPr>
            <w:tcW w:w="2257" w:type="dxa"/>
          </w:tcPr>
          <w:p w14:paraId="10533C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10</w:t>
            </w:r>
          </w:p>
        </w:tc>
        <w:tc>
          <w:tcPr>
            <w:tcW w:w="2257" w:type="dxa"/>
          </w:tcPr>
          <w:p w14:paraId="1256C6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7FD65F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行业甄别确认</w:t>
            </w:r>
          </w:p>
        </w:tc>
        <w:tc>
          <w:tcPr>
            <w:tcW w:w="2257" w:type="dxa"/>
          </w:tcPr>
          <w:p w14:paraId="3EF0CD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当系统识别到行业映射歧义客户时，引导业务人员确认标准行业归属，确保后续因子匹配与压测口径一致。</w:t>
            </w:r>
          </w:p>
        </w:tc>
      </w:tr>
      <w:tr w14:paraId="088212D4">
        <w:tc>
          <w:tcPr>
            <w:tcW w:w="2257" w:type="dxa"/>
          </w:tcPr>
          <w:p w14:paraId="4A15B1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11</w:t>
            </w:r>
          </w:p>
        </w:tc>
        <w:tc>
          <w:tcPr>
            <w:tcW w:w="2257" w:type="dxa"/>
          </w:tcPr>
          <w:p w14:paraId="34041E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285A47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一键处理</w:t>
            </w:r>
          </w:p>
        </w:tc>
        <w:tc>
          <w:tcPr>
            <w:tcW w:w="2257" w:type="dxa"/>
          </w:tcPr>
          <w:p w14:paraId="307417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将符合条件的「需计算」样本批量标记为可使用，减少逐条确认操作，加快数据处理进度。</w:t>
            </w:r>
          </w:p>
        </w:tc>
      </w:tr>
      <w:tr w14:paraId="6743C990">
        <w:tc>
          <w:tcPr>
            <w:tcW w:w="2257" w:type="dxa"/>
          </w:tcPr>
          <w:p w14:paraId="0E0F04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12</w:t>
            </w:r>
          </w:p>
        </w:tc>
        <w:tc>
          <w:tcPr>
            <w:tcW w:w="2257" w:type="dxa"/>
          </w:tcPr>
          <w:p w14:paraId="383DAE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0F0757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 / 导入内部PD/LGD数据</w:t>
            </w:r>
          </w:p>
        </w:tc>
        <w:tc>
          <w:tcPr>
            <w:tcW w:w="2257" w:type="dxa"/>
          </w:tcPr>
          <w:p w14:paraId="26EB16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支持内部 PD/LGD 明细的导出与 Excel 导入补录，满足行内压测对风险参数维护的业务需要。</w:t>
            </w:r>
          </w:p>
        </w:tc>
      </w:tr>
      <w:tr w14:paraId="44E9A1D1">
        <w:tc>
          <w:tcPr>
            <w:tcW w:w="2257" w:type="dxa"/>
          </w:tcPr>
          <w:p w14:paraId="546C62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13</w:t>
            </w:r>
          </w:p>
        </w:tc>
        <w:tc>
          <w:tcPr>
            <w:tcW w:w="2257" w:type="dxa"/>
          </w:tcPr>
          <w:p w14:paraId="2CF0A2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7F9121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导出参试银行基础信息</w:t>
            </w:r>
          </w:p>
        </w:tc>
        <w:tc>
          <w:tcPr>
            <w:tcW w:w="2257" w:type="dxa"/>
          </w:tcPr>
          <w:p w14:paraId="43E5C3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将按当前客户清单动态汇总的参试银行基础信息表导出为文件，供监管报送或内部分析使用。</w:t>
            </w:r>
          </w:p>
        </w:tc>
      </w:tr>
      <w:tr w14:paraId="7FF7706C">
        <w:tc>
          <w:tcPr>
            <w:tcW w:w="2257" w:type="dxa"/>
          </w:tcPr>
          <w:p w14:paraId="3D2894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14</w:t>
            </w:r>
          </w:p>
        </w:tc>
        <w:tc>
          <w:tcPr>
            <w:tcW w:w="2257" w:type="dxa"/>
          </w:tcPr>
          <w:p w14:paraId="3EFA13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6BAA73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导出资本与拨备监管指标 / 编辑数据</w:t>
            </w:r>
          </w:p>
        </w:tc>
        <w:tc>
          <w:tcPr>
            <w:tcW w:w="2257" w:type="dxa"/>
          </w:tcPr>
          <w:p w14:paraId="494B3D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展示并导出核心资本、拨备率等监管指标；其中拨备相关监管要求支持手工调整，以反映参试银行实际监管口径。</w:t>
            </w:r>
          </w:p>
        </w:tc>
      </w:tr>
      <w:tr w14:paraId="0C5C8F65">
        <w:tc>
          <w:tcPr>
            <w:tcW w:w="2257" w:type="dxa"/>
          </w:tcPr>
          <w:p w14:paraId="65007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15</w:t>
            </w:r>
          </w:p>
        </w:tc>
        <w:tc>
          <w:tcPr>
            <w:tcW w:w="2257" w:type="dxa"/>
          </w:tcPr>
          <w:p w14:paraId="4E8B61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w="2257" w:type="dxa"/>
          </w:tcPr>
          <w:p w14:paraId="13429D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操作日志</w:t>
            </w:r>
          </w:p>
        </w:tc>
        <w:tc>
          <w:tcPr>
            <w:tcW w:w="2257" w:type="dxa"/>
          </w:tcPr>
          <w:p w14:paraId="6B7BA9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记录任务创建、同步、导入导出等关键操作，便于审计追溯与问题排查。</w:t>
            </w:r>
          </w:p>
        </w:tc>
      </w:tr>
      <w:tr w14:paraId="4D6AFD50">
        <w:tc>
          <w:tcPr>
            <w:tcW w:w="2257" w:type="dxa"/>
          </w:tcPr>
          <w:p w14:paraId="7DF388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16</w:t>
            </w:r>
          </w:p>
        </w:tc>
        <w:tc>
          <w:tcPr>
            <w:tcW w:w="2257" w:type="dxa"/>
          </w:tcPr>
          <w:p w14:paraId="2778D0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w="2257" w:type="dxa"/>
          </w:tcPr>
          <w:p w14:paraId="29BB94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新建压测任务</w:t>
            </w:r>
          </w:p>
        </w:tc>
        <w:tc>
          <w:tcPr>
            <w:tcW w:w="2257" w:type="dxa"/>
          </w:tcPr>
          <w:p w14:paraId="6A339F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基于已完成的数据处理任务或导入 Excel 创建压测任务，作为情景分析、财务传导及后续压测步骤的统一载体。</w:t>
            </w:r>
          </w:p>
        </w:tc>
      </w:tr>
      <w:tr w14:paraId="0F140F03">
        <w:tc>
          <w:tcPr>
            <w:tcW w:w="2257" w:type="dxa"/>
          </w:tcPr>
          <w:p w14:paraId="0E591E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17</w:t>
            </w:r>
          </w:p>
        </w:tc>
        <w:tc>
          <w:tcPr>
            <w:tcW w:w="2257" w:type="dxa"/>
          </w:tcPr>
          <w:p w14:paraId="524066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w="2257" w:type="dxa"/>
          </w:tcPr>
          <w:p w14:paraId="543DB8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查询 / 重置</w:t>
            </w:r>
          </w:p>
        </w:tc>
        <w:tc>
          <w:tcPr>
            <w:tcW w:w="2257" w:type="dxa"/>
          </w:tcPr>
          <w:p w14:paraId="355814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按压测任务名称等条件检索任务列表，支持管理员在大量压测任务中快速定位目标。</w:t>
            </w:r>
          </w:p>
        </w:tc>
      </w:tr>
      <w:tr w14:paraId="5C68429D">
        <w:tc>
          <w:tcPr>
            <w:tcW w:w="2257" w:type="dxa"/>
          </w:tcPr>
          <w:p w14:paraId="13DA84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18</w:t>
            </w:r>
          </w:p>
        </w:tc>
        <w:tc>
          <w:tcPr>
            <w:tcW w:w="2257" w:type="dxa"/>
          </w:tcPr>
          <w:p w14:paraId="5D713E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w="2257" w:type="dxa"/>
          </w:tcPr>
          <w:p w14:paraId="4A0DB0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进入压测 / 查看</w:t>
            </w:r>
          </w:p>
        </w:tc>
        <w:tc>
          <w:tcPr>
            <w:tcW w:w="2257" w:type="dxa"/>
          </w:tcPr>
          <w:p w14:paraId="3734DB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进入指定压测任务的流水线步骤页，继续未完成压测或查看已完成任务的情景参数与中间结果。</w:t>
            </w:r>
          </w:p>
        </w:tc>
      </w:tr>
      <w:tr w14:paraId="43C4357B">
        <w:tc>
          <w:tcPr>
            <w:tcW w:w="2257" w:type="dxa"/>
          </w:tcPr>
          <w:p w14:paraId="35F9BA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19</w:t>
            </w:r>
          </w:p>
        </w:tc>
        <w:tc>
          <w:tcPr>
            <w:tcW w:w="2257" w:type="dxa"/>
          </w:tcPr>
          <w:p w14:paraId="5A4CDF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w="2257" w:type="dxa"/>
          </w:tcPr>
          <w:p w14:paraId="64F873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情景多选</w:t>
            </w:r>
          </w:p>
        </w:tc>
        <w:tc>
          <w:tcPr>
            <w:tcW w:w="2257" w:type="dxa"/>
          </w:tcPr>
          <w:p w14:paraId="64D10A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在同一压测任务内勾选基准、温室世界、有序转型等情景，满足监管要求的多情景并行压测需求。</w:t>
            </w:r>
          </w:p>
        </w:tc>
      </w:tr>
      <w:tr w14:paraId="402685AC">
        <w:tc>
          <w:tcPr>
            <w:tcW w:w="2257" w:type="dxa"/>
          </w:tcPr>
          <w:p w14:paraId="768081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20</w:t>
            </w:r>
          </w:p>
        </w:tc>
        <w:tc>
          <w:tcPr>
            <w:tcW w:w="2257" w:type="dxa"/>
          </w:tcPr>
          <w:p w14:paraId="1462F5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w="2257" w:type="dxa"/>
          </w:tcPr>
          <w:p w14:paraId="386CA2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情景参数录入</w:t>
            </w:r>
          </w:p>
        </w:tc>
        <w:tc>
          <w:tcPr>
            <w:tcW w:w="2257" w:type="dxa"/>
          </w:tcPr>
          <w:p w14:paraId="77E38F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为各选中情景录入起始/结束年份、行业增长率、免费配额、碳价、资产负债率等参数，右侧实时预览碳排放费用走势。</w:t>
            </w:r>
          </w:p>
        </w:tc>
      </w:tr>
      <w:tr w14:paraId="414EFC74">
        <w:tc>
          <w:tcPr>
            <w:tcW w:w="2257" w:type="dxa"/>
          </w:tcPr>
          <w:p w14:paraId="03116F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21</w:t>
            </w:r>
          </w:p>
        </w:tc>
        <w:tc>
          <w:tcPr>
            <w:tcW w:w="2257" w:type="dxa"/>
          </w:tcPr>
          <w:p w14:paraId="59A0E4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w="2257" w:type="dxa"/>
          </w:tcPr>
          <w:p w14:paraId="1E64B5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执行压测</w:t>
            </w:r>
          </w:p>
        </w:tc>
        <w:tc>
          <w:tcPr>
            <w:tcW w:w="2257" w:type="dxa"/>
          </w:tcPr>
          <w:p w14:paraId="6F368C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依据已录入情景参数对客户样本执行碳费用传导试算，生成情景分析阶段的初步压测结果。</w:t>
            </w:r>
          </w:p>
        </w:tc>
      </w:tr>
      <w:tr w14:paraId="67310329">
        <w:tc>
          <w:tcPr>
            <w:tcW w:w="2257" w:type="dxa"/>
          </w:tcPr>
          <w:p w14:paraId="03B65E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22</w:t>
            </w:r>
          </w:p>
        </w:tc>
        <w:tc>
          <w:tcPr>
            <w:tcW w:w="2257" w:type="dxa"/>
          </w:tcPr>
          <w:p w14:paraId="17F93D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w="2257" w:type="dxa"/>
          </w:tcPr>
          <w:p w14:paraId="464DA7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下一步：财务传导</w:t>
            </w:r>
          </w:p>
        </w:tc>
        <w:tc>
          <w:tcPr>
            <w:tcW w:w="2257" w:type="dxa"/>
          </w:tcPr>
          <w:p w14:paraId="6FC97A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情景分析完成后进入财务传导步骤，将碳费用影响进一步传导至企业财务指标与银行资产质量。</w:t>
            </w:r>
          </w:p>
        </w:tc>
      </w:tr>
      <w:tr w14:paraId="3340FC4A">
        <w:tc>
          <w:tcPr>
            <w:tcW w:w="2257" w:type="dxa"/>
          </w:tcPr>
          <w:p w14:paraId="6F4347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23</w:t>
            </w:r>
          </w:p>
        </w:tc>
        <w:tc>
          <w:tcPr>
            <w:tcW w:w="2257" w:type="dxa"/>
          </w:tcPr>
          <w:p w14:paraId="1407DB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财务传导</w:t>
            </w:r>
          </w:p>
        </w:tc>
        <w:tc>
          <w:tcPr>
            <w:tcW w:w="2257" w:type="dxa"/>
          </w:tcPr>
          <w:p w14:paraId="49D59E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新建压测任务</w:t>
            </w:r>
          </w:p>
        </w:tc>
        <w:tc>
          <w:tcPr>
            <w:tcW w:w="2257" w:type="dxa"/>
          </w:tcPr>
          <w:p w14:paraId="1C8E08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与情景分析共用压测任务列表，可在财务传导菜单下新建或进入任务，按流水线推进压测。</w:t>
            </w:r>
          </w:p>
        </w:tc>
      </w:tr>
      <w:tr w14:paraId="5803FEE4">
        <w:tc>
          <w:tcPr>
            <w:tcW w:w="2257" w:type="dxa"/>
          </w:tcPr>
          <w:p w14:paraId="352417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24</w:t>
            </w:r>
          </w:p>
        </w:tc>
        <w:tc>
          <w:tcPr>
            <w:tcW w:w="2257" w:type="dxa"/>
          </w:tcPr>
          <w:p w14:paraId="02FC92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财务传导</w:t>
            </w:r>
          </w:p>
        </w:tc>
        <w:tc>
          <w:tcPr>
            <w:tcW w:w="2257" w:type="dxa"/>
          </w:tcPr>
          <w:p w14:paraId="64DAB1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执行财务传导</w:t>
            </w:r>
          </w:p>
        </w:tc>
        <w:tc>
          <w:tcPr>
            <w:tcW w:w="2257" w:type="dxa"/>
          </w:tcPr>
          <w:p w14:paraId="182710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将情景分析得到的碳费用结果传导至客户收入、成本、净利润及资产负债率等财务指标，形成财务传导中间表。</w:t>
            </w:r>
          </w:p>
        </w:tc>
      </w:tr>
      <w:tr w14:paraId="1F5155AA">
        <w:tc>
          <w:tcPr>
            <w:tcW w:w="2257" w:type="dxa"/>
          </w:tcPr>
          <w:p w14:paraId="0F0D88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25</w:t>
            </w:r>
          </w:p>
        </w:tc>
        <w:tc>
          <w:tcPr>
            <w:tcW w:w="2257" w:type="dxa"/>
          </w:tcPr>
          <w:p w14:paraId="25D225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财务传导</w:t>
            </w:r>
          </w:p>
        </w:tc>
        <w:tc>
          <w:tcPr>
            <w:tcW w:w="2257" w:type="dxa"/>
          </w:tcPr>
          <w:p w14:paraId="65FB25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下一步：PD/LGD计算</w:t>
            </w:r>
          </w:p>
        </w:tc>
        <w:tc>
          <w:tcPr>
            <w:tcW w:w="2257" w:type="dxa"/>
          </w:tcPr>
          <w:p w14:paraId="06D492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财务传导完成后进入 PD/LGD 计算步骤，为违约概率与损失率调整提供输入。</w:t>
            </w:r>
          </w:p>
        </w:tc>
      </w:tr>
      <w:tr w14:paraId="74FD8CE3">
        <w:tc>
          <w:tcPr>
            <w:tcW w:w="2257" w:type="dxa"/>
          </w:tcPr>
          <w:p w14:paraId="0F5E64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26</w:t>
            </w:r>
          </w:p>
        </w:tc>
        <w:tc>
          <w:tcPr>
            <w:tcW w:w="2257" w:type="dxa"/>
          </w:tcPr>
          <w:p w14:paraId="214440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PD/LGD计算</w:t>
            </w:r>
          </w:p>
        </w:tc>
        <w:tc>
          <w:tcPr>
            <w:tcW w:w="2257" w:type="dxa"/>
          </w:tcPr>
          <w:p w14:paraId="7B669B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执行 PD/LGD 计算</w:t>
            </w:r>
          </w:p>
        </w:tc>
        <w:tc>
          <w:tcPr>
            <w:tcW w:w="2257" w:type="dxa"/>
          </w:tcPr>
          <w:p w14:paraId="1F2F8F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结合财务传导结果与内部/监管 PD、LGD 参数，计算压测后客户违约概率与损失率变化，支撑资产质量评估。</w:t>
            </w:r>
          </w:p>
        </w:tc>
      </w:tr>
      <w:tr w14:paraId="2CCAD5E3">
        <w:tc>
          <w:tcPr>
            <w:tcW w:w="2257" w:type="dxa"/>
          </w:tcPr>
          <w:p w14:paraId="5B4A28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27</w:t>
            </w:r>
          </w:p>
        </w:tc>
        <w:tc>
          <w:tcPr>
            <w:tcW w:w="2257" w:type="dxa"/>
          </w:tcPr>
          <w:p w14:paraId="7EE1C0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PD/LGD计算</w:t>
            </w:r>
          </w:p>
        </w:tc>
        <w:tc>
          <w:tcPr>
            <w:tcW w:w="2257" w:type="dxa"/>
          </w:tcPr>
          <w:p w14:paraId="58AA34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下一步：不良和拨备计算</w:t>
            </w:r>
          </w:p>
        </w:tc>
        <w:tc>
          <w:tcPr>
            <w:tcW w:w="2257" w:type="dxa"/>
          </w:tcPr>
          <w:p w14:paraId="4B7B15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PD/LGD 计算完成后进入不良和拨备计算步骤，汇总不良贷款与拨备计提影响。</w:t>
            </w:r>
          </w:p>
        </w:tc>
      </w:tr>
      <w:tr w14:paraId="3CF0A1DD">
        <w:tc>
          <w:tcPr>
            <w:tcW w:w="2257" w:type="dxa"/>
          </w:tcPr>
          <w:p w14:paraId="525220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28</w:t>
            </w:r>
          </w:p>
        </w:tc>
        <w:tc>
          <w:tcPr>
            <w:tcW w:w="2257" w:type="dxa"/>
          </w:tcPr>
          <w:p w14:paraId="04926F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不良和拨备计算</w:t>
            </w:r>
          </w:p>
        </w:tc>
        <w:tc>
          <w:tcPr>
            <w:tcW w:w="2257" w:type="dxa"/>
          </w:tcPr>
          <w:p w14:paraId="477EB6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执行不良和拨备计算</w:t>
            </w:r>
          </w:p>
        </w:tc>
        <w:tc>
          <w:tcPr>
            <w:tcW w:w="2257" w:type="dxa"/>
          </w:tcPr>
          <w:p w14:paraId="421EDE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基于前述步骤结果计算压测情景下不良贷款余额、拨备计提金额等监管关注指标，完成压测流水线末端计算。</w:t>
            </w:r>
          </w:p>
        </w:tc>
      </w:tr>
      <w:tr w14:paraId="28AD4C43">
        <w:tc>
          <w:tcPr>
            <w:tcW w:w="2257" w:type="dxa"/>
          </w:tcPr>
          <w:p w14:paraId="0E685B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29</w:t>
            </w:r>
          </w:p>
        </w:tc>
        <w:tc>
          <w:tcPr>
            <w:tcW w:w="2257" w:type="dxa"/>
          </w:tcPr>
          <w:p w14:paraId="16F01E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不良和拨备计算</w:t>
            </w:r>
          </w:p>
        </w:tc>
        <w:tc>
          <w:tcPr>
            <w:tcW w:w="2257" w:type="dxa"/>
          </w:tcPr>
          <w:p w14:paraId="642B69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查看压测结果分析</w:t>
            </w:r>
          </w:p>
        </w:tc>
        <w:tc>
          <w:tcPr>
            <w:tcW w:w="2257" w:type="dxa"/>
          </w:tcPr>
          <w:p w14:paraId="15FECE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压测完成后跳转至结果分析模块，查看组合层面与行业层面的汇总指标及违约客户监控。</w:t>
            </w:r>
          </w:p>
        </w:tc>
      </w:tr>
      <w:tr w14:paraId="33B79C38">
        <w:tc>
          <w:tcPr>
            <w:tcW w:w="2257" w:type="dxa"/>
          </w:tcPr>
          <w:p w14:paraId="130BFA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30</w:t>
            </w:r>
          </w:p>
        </w:tc>
        <w:tc>
          <w:tcPr>
            <w:tcW w:w="2257" w:type="dxa"/>
          </w:tcPr>
          <w:p w14:paraId="0C98F5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压测结果分析</w:t>
            </w:r>
          </w:p>
        </w:tc>
        <w:tc>
          <w:tcPr>
            <w:tcW w:w="2257" w:type="dxa"/>
          </w:tcPr>
          <w:p w14:paraId="25573E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结果来源 / 年份 / 情景筛选</w:t>
            </w:r>
          </w:p>
        </w:tc>
        <w:tc>
          <w:tcPr>
            <w:tcW w:w="2257" w:type="dxa"/>
          </w:tcPr>
          <w:p w14:paraId="42A714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从已完成的数据处理任务或压测任务中选择结果集，并按年份、情景维度切换分析视角。</w:t>
            </w:r>
          </w:p>
        </w:tc>
      </w:tr>
      <w:tr w14:paraId="6C2E98D9">
        <w:tc>
          <w:tcPr>
            <w:tcW w:w="2257" w:type="dxa"/>
          </w:tcPr>
          <w:p w14:paraId="53953F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31</w:t>
            </w:r>
          </w:p>
        </w:tc>
        <w:tc>
          <w:tcPr>
            <w:tcW w:w="2257" w:type="dxa"/>
          </w:tcPr>
          <w:p w14:paraId="3371D8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压测结果分析</w:t>
            </w:r>
          </w:p>
        </w:tc>
        <w:tc>
          <w:tcPr>
            <w:tcW w:w="2257" w:type="dxa"/>
          </w:tcPr>
          <w:p w14:paraId="3BE582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导出明细</w:t>
            </w:r>
          </w:p>
        </w:tc>
        <w:tc>
          <w:tcPr>
            <w:tcW w:w="2257" w:type="dxa"/>
          </w:tcPr>
          <w:p w14:paraId="1C968E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将当前筛选条件下的压测明细结果导出为 Excel，并自动写入导出记录留痕，满足监管报送与内部分发需要。</w:t>
            </w:r>
          </w:p>
        </w:tc>
      </w:tr>
      <w:tr w14:paraId="6528D0C4">
        <w:tc>
          <w:tcPr>
            <w:tcW w:w="2257" w:type="dxa"/>
          </w:tcPr>
          <w:p w14:paraId="1C2612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32</w:t>
            </w:r>
          </w:p>
        </w:tc>
        <w:tc>
          <w:tcPr>
            <w:tcW w:w="2257" w:type="dxa"/>
          </w:tcPr>
          <w:p w14:paraId="150C81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压测结果分析</w:t>
            </w:r>
          </w:p>
        </w:tc>
        <w:tc>
          <w:tcPr>
            <w:tcW w:w="2257" w:type="dxa"/>
          </w:tcPr>
          <w:p w14:paraId="334B24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应用报送</w:t>
            </w:r>
          </w:p>
        </w:tc>
        <w:tc>
          <w:tcPr>
            <w:tcW w:w="2257" w:type="dxa"/>
          </w:tcPr>
          <w:p w14:paraId="06F975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对已完成监管口径数据处理任务，进入应用报送页面，生成监管 Excel 文件包或下发内部风险预警。</w:t>
            </w:r>
          </w:p>
        </w:tc>
      </w:tr>
      <w:tr w14:paraId="31A88EF1">
        <w:tc>
          <w:tcPr>
            <w:tcW w:w="2257" w:type="dxa"/>
          </w:tcPr>
          <w:p w14:paraId="2BF118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33</w:t>
            </w:r>
          </w:p>
        </w:tc>
        <w:tc>
          <w:tcPr>
            <w:tcW w:w="2257" w:type="dxa"/>
          </w:tcPr>
          <w:p w14:paraId="428624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压测结果分析</w:t>
            </w:r>
          </w:p>
        </w:tc>
        <w:tc>
          <w:tcPr>
            <w:tcW w:w="2257" w:type="dxa"/>
          </w:tcPr>
          <w:p w14:paraId="71D3A1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监管指标汇总表</w:t>
            </w:r>
          </w:p>
        </w:tc>
        <w:tc>
          <w:tcPr>
            <w:tcW w:w="2257" w:type="dxa"/>
          </w:tcPr>
          <w:p w14:paraId="163737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按监管要求展示资本、拨备、不良等关键指标的压测前后对比汇总，支撑监管沟通与内部汇报。</w:t>
            </w:r>
          </w:p>
        </w:tc>
      </w:tr>
      <w:tr w14:paraId="5085EEBB">
        <w:tc>
          <w:tcPr>
            <w:tcW w:w="2257" w:type="dxa"/>
          </w:tcPr>
          <w:p w14:paraId="640E80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34</w:t>
            </w:r>
          </w:p>
        </w:tc>
        <w:tc>
          <w:tcPr>
            <w:tcW w:w="2257" w:type="dxa"/>
          </w:tcPr>
          <w:p w14:paraId="0C64BE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压测结果分析</w:t>
            </w:r>
          </w:p>
        </w:tc>
        <w:tc>
          <w:tcPr>
            <w:tcW w:w="2257" w:type="dxa"/>
          </w:tcPr>
          <w:p w14:paraId="5D03A3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违约客户监控 / 一键下发预警</w:t>
            </w:r>
          </w:p>
        </w:tc>
        <w:tc>
          <w:tcPr>
            <w:tcW w:w="2257" w:type="dxa"/>
          </w:tcPr>
          <w:p w14:paraId="15205D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按行业展示压测新增违约/不良客户分布，支持导出监控数据并一键下发风险预警至相关管理条线。</w:t>
            </w:r>
          </w:p>
        </w:tc>
      </w:tr>
      <w:tr w14:paraId="7DE3D968">
        <w:tc>
          <w:tcPr>
            <w:tcW w:w="2257" w:type="dxa"/>
          </w:tcPr>
          <w:p w14:paraId="3A7BC4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35</w:t>
            </w:r>
          </w:p>
        </w:tc>
        <w:tc>
          <w:tcPr>
            <w:tcW w:w="2257" w:type="dxa"/>
          </w:tcPr>
          <w:p w14:paraId="6ED720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导出记录</w:t>
            </w:r>
          </w:p>
        </w:tc>
        <w:tc>
          <w:tcPr>
            <w:tcW w:w="2257" w:type="dxa"/>
          </w:tcPr>
          <w:p w14:paraId="26067B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查询 / 重置</w:t>
            </w:r>
          </w:p>
        </w:tc>
        <w:tc>
          <w:tcPr>
            <w:tcW w:w="2257" w:type="dxa"/>
          </w:tcPr>
          <w:p w14:paraId="50FEB7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按导出类型、操作人、时间范围检索历史导出记录，便于审计与重复下载。</w:t>
            </w:r>
          </w:p>
        </w:tc>
      </w:tr>
      <w:tr w14:paraId="5857B187">
        <w:tc>
          <w:tcPr>
            <w:tcW w:w="2257" w:type="dxa"/>
          </w:tcPr>
          <w:p w14:paraId="73C787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36</w:t>
            </w:r>
          </w:p>
        </w:tc>
        <w:tc>
          <w:tcPr>
            <w:tcW w:w="2257" w:type="dxa"/>
          </w:tcPr>
          <w:p w14:paraId="3C6896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导出记录</w:t>
            </w:r>
          </w:p>
        </w:tc>
        <w:tc>
          <w:tcPr>
            <w:tcW w:w="2257" w:type="dxa"/>
          </w:tcPr>
          <w:p w14:paraId="44FD35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下载</w:t>
            </w:r>
          </w:p>
        </w:tc>
        <w:tc>
          <w:tcPr>
            <w:tcW w:w="2257" w:type="dxa"/>
          </w:tcPr>
          <w:p w14:paraId="52BB6B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对历史导出文件进行再次下载，避免重复执行压测或明细导出操作。</w:t>
            </w:r>
          </w:p>
        </w:tc>
      </w:tr>
      <w:tr w14:paraId="750C88B7">
        <w:tc>
          <w:tcPr>
            <w:tcW w:w="2257" w:type="dxa"/>
          </w:tcPr>
          <w:p w14:paraId="7538D4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37</w:t>
            </w:r>
          </w:p>
        </w:tc>
        <w:tc>
          <w:tcPr>
            <w:tcW w:w="2257" w:type="dxa"/>
          </w:tcPr>
          <w:p w14:paraId="709431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因子库管理</w:t>
            </w:r>
          </w:p>
        </w:tc>
        <w:tc>
          <w:tcPr>
            <w:tcW w:w="2257" w:type="dxa"/>
          </w:tcPr>
          <w:p w14:paraId="23CD86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新增因子</w:t>
            </w:r>
          </w:p>
        </w:tc>
        <w:tc>
          <w:tcPr>
            <w:tcW w:w="2257" w:type="dxa"/>
          </w:tcPr>
          <w:p w14:paraId="543155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维护各行业碳排放因子编码、国标代码、因子值及生效版本，为碳排放测算提供基础参数库。</w:t>
            </w:r>
          </w:p>
        </w:tc>
      </w:tr>
      <w:tr w14:paraId="5671B254">
        <w:tc>
          <w:tcPr>
            <w:tcW w:w="2257" w:type="dxa"/>
          </w:tcPr>
          <w:p w14:paraId="69B520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38</w:t>
            </w:r>
          </w:p>
        </w:tc>
        <w:tc>
          <w:tcPr>
            <w:tcW w:w="2257" w:type="dxa"/>
          </w:tcPr>
          <w:p w14:paraId="018CB9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因子库管理</w:t>
            </w:r>
          </w:p>
        </w:tc>
        <w:tc>
          <w:tcPr>
            <w:tcW w:w="2257" w:type="dxa"/>
          </w:tcPr>
          <w:p w14:paraId="0E4C94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查看 / 编辑 / 启用 / 停用 / 删除</w:t>
            </w:r>
          </w:p>
        </w:tc>
        <w:tc>
          <w:tcPr>
            <w:tcW w:w="2257" w:type="dxa"/>
          </w:tcPr>
          <w:p w14:paraId="5776E2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对因子进行全生命周期管理，确保仅生效因子参与压测计算，停用或删除过期因子以控制口径风险。</w:t>
            </w:r>
          </w:p>
        </w:tc>
      </w:tr>
      <w:tr w14:paraId="16F8B536">
        <w:tc>
          <w:tcPr>
            <w:tcW w:w="2257" w:type="dxa"/>
          </w:tcPr>
          <w:p w14:paraId="356239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39</w:t>
            </w:r>
          </w:p>
        </w:tc>
        <w:tc>
          <w:tcPr>
            <w:tcW w:w="2257" w:type="dxa"/>
          </w:tcPr>
          <w:p w14:paraId="06497D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行业映射关系</w:t>
            </w:r>
          </w:p>
        </w:tc>
        <w:tc>
          <w:tcPr>
            <w:tcW w:w="2257" w:type="dxa"/>
          </w:tcPr>
          <w:p w14:paraId="02EEE6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新增映射</w:t>
            </w:r>
          </w:p>
        </w:tc>
        <w:tc>
          <w:tcPr>
            <w:tcW w:w="2257" w:type="dxa"/>
          </w:tcPr>
          <w:p w14:paraId="4DA798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配置信贷系统接口行业与压测标准行业、国标代码的对应关系，解决样本行业口径不一致问题。</w:t>
            </w:r>
          </w:p>
        </w:tc>
      </w:tr>
      <w:tr w14:paraId="1DDFFCBF">
        <w:tc>
          <w:tcPr>
            <w:tcW w:w="2257" w:type="dxa"/>
          </w:tcPr>
          <w:p w14:paraId="6C492D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40</w:t>
            </w:r>
          </w:p>
        </w:tc>
        <w:tc>
          <w:tcPr>
            <w:tcW w:w="2257" w:type="dxa"/>
          </w:tcPr>
          <w:p w14:paraId="6E6F22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行业映射关系</w:t>
            </w:r>
          </w:p>
        </w:tc>
        <w:tc>
          <w:tcPr>
            <w:tcW w:w="2257" w:type="dxa"/>
          </w:tcPr>
          <w:p w14:paraId="5B11AE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查看 / 编辑 / 启用 / 停用 / 删除</w:t>
            </w:r>
          </w:p>
        </w:tc>
        <w:tc>
          <w:tcPr>
            <w:tcW w:w="2257" w:type="dxa"/>
          </w:tcPr>
          <w:p w14:paraId="69BE6F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维护映射规则版本与状态，保障数据处理同步阶段能准确识别客户所属标准行业。</w:t>
            </w:r>
          </w:p>
        </w:tc>
      </w:tr>
      <w:tr w14:paraId="4EE17541">
        <w:tc>
          <w:tcPr>
            <w:tcW w:w="2257" w:type="dxa"/>
          </w:tcPr>
          <w:p w14:paraId="50FF8D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41</w:t>
            </w:r>
          </w:p>
        </w:tc>
        <w:tc>
          <w:tcPr>
            <w:tcW w:w="2257" w:type="dxa"/>
          </w:tcPr>
          <w:p w14:paraId="1D0403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机场吞吐量维护</w:t>
            </w:r>
          </w:p>
        </w:tc>
        <w:tc>
          <w:tcPr>
            <w:tcW w:w="2257" w:type="dxa"/>
          </w:tcPr>
          <w:p w14:paraId="041E33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保存记录 / 编辑 / 删除</w:t>
            </w:r>
          </w:p>
        </w:tc>
        <w:tc>
          <w:tcPr>
            <w:tcW w:w="2257" w:type="dxa"/>
          </w:tcPr>
          <w:p w14:paraId="1E48F4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维护机场企业旅客与货邮吞吐量数据，供机场类客户碳排放测算时自动调取，减少手工补录。</w:t>
            </w:r>
          </w:p>
        </w:tc>
      </w:tr>
      <w:tr w14:paraId="07504B23">
        <w:tc>
          <w:tcPr>
            <w:tcW w:w="2257" w:type="dxa"/>
          </w:tcPr>
          <w:p w14:paraId="7BCA73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42</w:t>
            </w:r>
          </w:p>
        </w:tc>
        <w:tc>
          <w:tcPr>
            <w:tcW w:w="2257" w:type="dxa"/>
          </w:tcPr>
          <w:p w14:paraId="4AEA79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计算方法说明</w:t>
            </w:r>
          </w:p>
        </w:tc>
        <w:tc>
          <w:tcPr>
            <w:tcW w:w="2257" w:type="dxa"/>
          </w:tcPr>
          <w:p w14:paraId="3D0EA1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计算方法文档查阅</w:t>
            </w:r>
          </w:p>
        </w:tc>
        <w:tc>
          <w:tcPr>
            <w:tcW w:w="2257" w:type="dxa"/>
          </w:tcPr>
          <w:p w14:paraId="0EF4AF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集中展示碳排放、财务传导、PD/LGD、不良拨备等核心计算公式与口径说明，便于业务人员理解压测逻辑。</w:t>
            </w:r>
          </w:p>
        </w:tc>
      </w:tr>
      <w:tr w14:paraId="7D20CA23">
        <w:tc>
          <w:tcPr>
            <w:tcW w:w="2257" w:type="dxa"/>
          </w:tcPr>
          <w:p w14:paraId="16BAC4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43</w:t>
            </w:r>
          </w:p>
        </w:tc>
        <w:tc>
          <w:tcPr>
            <w:tcW w:w="2257" w:type="dxa"/>
          </w:tcPr>
          <w:p w14:paraId="66646C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菜单权限</w:t>
            </w:r>
          </w:p>
        </w:tc>
        <w:tc>
          <w:tcPr>
            <w:tcW w:w="2257" w:type="dxa"/>
          </w:tcPr>
          <w:p w14:paraId="5EBF06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菜单显示开关</w:t>
            </w:r>
          </w:p>
        </w:tc>
        <w:tc>
          <w:tcPr>
            <w:tcW w:w="2257" w:type="dxa"/>
          </w:tcPr>
          <w:p w14:paraId="7BB6FC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142528"/>
                <w:sz w:val="20"/>
              </w:rPr>
              <w:t>按角色或部署需要控制各一级/二级菜单的可见性，实现不同用户群体看到适配的功能范围。</w:t>
            </w:r>
          </w:p>
        </w:tc>
      </w:tr>
    </w:tbl>
    <w:p w14:paraId="57D5CBDB">
      <w:r>
        <w:br w:type="page"/>
      </w:r>
    </w:p>
    <w:p w14:paraId="0BB8F7C4">
      <w:pPr>
        <w:pStyle w:val="3"/>
      </w:pPr>
      <w:r>
        <w:rPr>
          <w:rFonts w:ascii="宋体" w:hAnsi="宋体" w:eastAsia="宋体"/>
          <w:b/>
          <w:color w:val="142528"/>
          <w:sz w:val="32"/>
        </w:rPr>
        <w:t>3. 功能详细说明与界面截图</w:t>
      </w:r>
    </w:p>
    <w:p w14:paraId="36049840">
      <w:pPr>
        <w:pStyle w:val="4"/>
      </w:pPr>
      <w:r>
        <w:rPr>
          <w:rFonts w:ascii="宋体" w:hAnsi="宋体" w:eastAsia="宋体"/>
          <w:b/>
          <w:color w:val="142528"/>
          <w:sz w:val="28"/>
        </w:rPr>
        <w:t>3.1 数据处理</w:t>
      </w:r>
    </w:p>
    <w:p w14:paraId="63E688A9">
      <w:pPr>
        <w:pStyle w:val="5"/>
      </w:pPr>
      <w:r>
        <w:rPr>
          <w:rFonts w:ascii="宋体" w:hAnsi="宋体" w:eastAsia="宋体"/>
          <w:b/>
          <w:color w:val="142528"/>
          <w:sz w:val="24"/>
        </w:rPr>
        <w:t>新建任务</w:t>
      </w:r>
    </w:p>
    <w:p w14:paraId="16D56EA1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用于创建新的数据处理任务，录入任务名称、报告年度、贷款类型、贷款地区、压测目的及涉及行业等基本信息，为后续同步信贷与财务数据建立压测样本范围。</w:t>
      </w:r>
    </w:p>
    <w:p w14:paraId="049EBE81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1CBA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图：02 data process create</w:t>
      </w:r>
    </w:p>
    <w:p w14:paraId="47CCB23B"/>
    <w:p w14:paraId="3E7EC2AA">
      <w:pPr>
        <w:pStyle w:val="5"/>
      </w:pPr>
      <w:r>
        <w:rPr>
          <w:rFonts w:ascii="宋体" w:hAnsi="宋体" w:eastAsia="宋体"/>
          <w:b/>
          <w:color w:val="142528"/>
          <w:sz w:val="24"/>
        </w:rPr>
        <w:t>查询 / 重置</w:t>
      </w:r>
    </w:p>
    <w:p w14:paraId="402F5757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支持按任务名称、报告年度、贷款类型、贷款地区筛选数据处理任务列表，便于管理员快速定位目标任务；重置可清空筛选条件恢复全量列表。</w:t>
      </w:r>
    </w:p>
    <w:p w14:paraId="2AC45161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6C07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图：01 data process list</w:t>
      </w:r>
    </w:p>
    <w:p w14:paraId="4F2FD253"/>
    <w:p w14:paraId="1CED97D1">
      <w:pPr>
        <w:pStyle w:val="5"/>
      </w:pPr>
      <w:r>
        <w:rPr>
          <w:rFonts w:ascii="宋体" w:hAnsi="宋体" w:eastAsia="宋体"/>
          <w:b/>
          <w:color w:val="142528"/>
          <w:sz w:val="24"/>
        </w:rPr>
        <w:t>查看 / 编辑 / 删除</w:t>
      </w:r>
    </w:p>
    <w:p w14:paraId="4FAD6E64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查看以只读方式浏览任务详情与同步结果；编辑可修改任务基本信息或继续处理数据；删除用于清理草稿或不再使用的任务记录。</w:t>
      </w:r>
    </w:p>
    <w:p w14:paraId="792450EB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2482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图：01 data process list</w:t>
      </w:r>
    </w:p>
    <w:p w14:paraId="6D5FA129"/>
    <w:p w14:paraId="6BD4DBB1">
      <w:pPr>
        <w:pStyle w:val="5"/>
      </w:pPr>
      <w:r>
        <w:rPr>
          <w:rFonts w:ascii="宋体" w:hAnsi="宋体" w:eastAsia="宋体"/>
          <w:b/>
          <w:color w:val="142528"/>
          <w:sz w:val="24"/>
        </w:rPr>
        <w:t>同步贷款数据</w:t>
      </w:r>
    </w:p>
    <w:p w14:paraId="70FD50AE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从信贷系统按任务概览中的贷款地区、报告年度、涉及行业、贷款类型拉取高碳行业客户贷款样本，生成客户基础信息表初始数据。</w:t>
      </w:r>
    </w:p>
    <w:p w14:paraId="58D4C125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B090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图：03 data process financial sync</w:t>
      </w:r>
    </w:p>
    <w:p w14:paraId="766AE44B"/>
    <w:p w14:paraId="18B4C6AB">
      <w:pPr>
        <w:pStyle w:val="5"/>
      </w:pPr>
      <w:r>
        <w:rPr>
          <w:rFonts w:ascii="宋体" w:hAnsi="宋体" w:eastAsia="宋体"/>
          <w:b/>
          <w:color w:val="142528"/>
          <w:sz w:val="24"/>
        </w:rPr>
        <w:t>同步财务数据</w:t>
      </w:r>
    </w:p>
    <w:p w14:paraId="72842B09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在贷款数据同步完成后，从财务系统补充客户收入、利润、温室气体排放等字段，支撑后续碳排放与财务传导计算。</w:t>
      </w:r>
    </w:p>
    <w:p w14:paraId="6BD58BD7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6006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图：03 data process financial sync</w:t>
      </w:r>
    </w:p>
    <w:p w14:paraId="2E05D687"/>
    <w:p w14:paraId="06CCE7B4">
      <w:pPr>
        <w:pStyle w:val="5"/>
      </w:pPr>
      <w:r>
        <w:rPr>
          <w:rFonts w:ascii="宋体" w:hAnsi="宋体" w:eastAsia="宋体"/>
          <w:b/>
          <w:color w:val="142528"/>
          <w:sz w:val="24"/>
        </w:rPr>
        <w:t>同步内部PD数据</w:t>
      </w:r>
    </w:p>
    <w:p w14:paraId="01D968A6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针对行内压测场景，从内部系统同步客户 PD、LGD 等风险参数，为后续 PD/LGD 计算步骤提供行内口径数据。</w:t>
      </w:r>
    </w:p>
    <w:p w14:paraId="00E8AC18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EF88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图：03 data process financial sync</w:t>
      </w:r>
    </w:p>
    <w:p w14:paraId="2130DF42"/>
    <w:p w14:paraId="0BAEDA42">
      <w:pPr>
        <w:pStyle w:val="5"/>
      </w:pPr>
      <w:r>
        <w:rPr>
          <w:rFonts w:ascii="宋体" w:hAnsi="宋体" w:eastAsia="宋体"/>
          <w:b/>
          <w:color w:val="142528"/>
          <w:sz w:val="24"/>
        </w:rPr>
        <w:t>状态筛选</w:t>
      </w:r>
    </w:p>
    <w:p w14:paraId="1059D59A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按可使用、需计算、无法处理、已排除等状态筛选客户样本，便于聚焦待处理或异常数据。</w:t>
      </w:r>
    </w:p>
    <w:p w14:paraId="39B572CA">
      <w:pPr>
        <w:jc w:val="center"/>
      </w:pPr>
      <w:r>
        <w:drawing>
          <wp:inline distT="0" distB="0" distL="114300" distR="114300">
            <wp:extent cx="5303520" cy="3501390"/>
            <wp:effectExtent l="0" t="0" r="508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3519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图：04 data process customer table</w:t>
      </w:r>
    </w:p>
    <w:p w14:paraId="309BC26B"/>
    <w:p w14:paraId="5262435D">
      <w:pPr>
        <w:pStyle w:val="5"/>
      </w:pPr>
      <w:r>
        <w:rPr>
          <w:rFonts w:ascii="宋体" w:hAnsi="宋体" w:eastAsia="宋体"/>
          <w:b/>
          <w:color w:val="142528"/>
          <w:sz w:val="24"/>
        </w:rPr>
        <w:t>导出 / 导入客户基础信息</w:t>
      </w:r>
    </w:p>
    <w:p w14:paraId="5244BF67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导出当前客户基础信息表用于线下核对或补录；导入可将补录后的 Excel 结果回写系统，更新样本可用状态。</w:t>
      </w:r>
    </w:p>
    <w:p w14:paraId="0020C013">
      <w:pPr>
        <w:jc w:val="center"/>
      </w:pPr>
      <w:r>
        <w:drawing>
          <wp:inline distT="0" distB="0" distL="114300" distR="114300">
            <wp:extent cx="5303520" cy="3501390"/>
            <wp:effectExtent l="0" t="0" r="508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3F6C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图：04 data process customer table</w:t>
      </w:r>
    </w:p>
    <w:p w14:paraId="400A2370"/>
    <w:p w14:paraId="6D650A66">
      <w:pPr>
        <w:pStyle w:val="5"/>
      </w:pPr>
      <w:r>
        <w:rPr>
          <w:rFonts w:ascii="宋体" w:hAnsi="宋体" w:eastAsia="宋体"/>
          <w:b/>
          <w:color w:val="142528"/>
          <w:sz w:val="24"/>
        </w:rPr>
        <w:t>编辑温室气体排放数据</w:t>
      </w:r>
    </w:p>
    <w:p w14:paraId="1C1D73FD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对尚未完成的数据处理任务，支持手工维护或修正客户温室气体排放量，满足碳排放测算对排放因子的输入要求。</w:t>
      </w:r>
    </w:p>
    <w:p w14:paraId="016748B2">
      <w:pPr>
        <w:jc w:val="center"/>
      </w:pPr>
      <w:r>
        <w:drawing>
          <wp:inline distT="0" distB="0" distL="114300" distR="114300">
            <wp:extent cx="5303520" cy="3501390"/>
            <wp:effectExtent l="0" t="0" r="508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1785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图：04 data process customer table</w:t>
      </w:r>
    </w:p>
    <w:p w14:paraId="5A663409"/>
    <w:p w14:paraId="3E378C4A">
      <w:pPr>
        <w:pStyle w:val="5"/>
      </w:pPr>
      <w:r>
        <w:rPr>
          <w:rFonts w:ascii="宋体" w:hAnsi="宋体" w:eastAsia="宋体"/>
          <w:b/>
          <w:color w:val="142528"/>
          <w:sz w:val="24"/>
        </w:rPr>
        <w:t>行业甄别确认</w:t>
      </w:r>
    </w:p>
    <w:p w14:paraId="3838C413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当系统识别到行业映射歧义客户时，引导业务人员确认标准行业归属，确保后续因子匹配与压测口径一致。</w:t>
      </w:r>
    </w:p>
    <w:p w14:paraId="3DA040A4">
      <w:pPr>
        <w:jc w:val="center"/>
      </w:pPr>
      <w:r>
        <w:drawing>
          <wp:inline distT="0" distB="0" distL="114300" distR="114300">
            <wp:extent cx="5303520" cy="3501390"/>
            <wp:effectExtent l="0" t="0" r="508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675B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图：04 data process customer table</w:t>
      </w:r>
    </w:p>
    <w:p w14:paraId="0D572BEC"/>
    <w:p w14:paraId="3514B5C2">
      <w:pPr>
        <w:pStyle w:val="5"/>
      </w:pPr>
      <w:r>
        <w:rPr>
          <w:rFonts w:ascii="宋体" w:hAnsi="宋体" w:eastAsia="宋体"/>
          <w:b/>
          <w:color w:val="142528"/>
          <w:sz w:val="24"/>
        </w:rPr>
        <w:t>一键处理</w:t>
      </w:r>
    </w:p>
    <w:p w14:paraId="6E977251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将符合条件的「需计算」样本批量标记为可使用，减少逐条确认操作，加快数据处理进度。</w:t>
      </w:r>
    </w:p>
    <w:p w14:paraId="19B275EB">
      <w:pPr>
        <w:jc w:val="center"/>
      </w:pPr>
      <w:r>
        <w:drawing>
          <wp:inline distT="0" distB="0" distL="114300" distR="114300">
            <wp:extent cx="5303520" cy="3501390"/>
            <wp:effectExtent l="0" t="0" r="508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E6B0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图：04 data process customer table</w:t>
      </w:r>
    </w:p>
    <w:p w14:paraId="033F032B"/>
    <w:p w14:paraId="256F4CBA">
      <w:pPr>
        <w:pStyle w:val="5"/>
      </w:pPr>
      <w:r>
        <w:rPr>
          <w:rFonts w:ascii="宋体" w:hAnsi="宋体" w:eastAsia="宋体"/>
          <w:b/>
          <w:color w:val="142528"/>
          <w:sz w:val="24"/>
        </w:rPr>
        <w:t>导出 / 导入内部PD/LGD数据</w:t>
      </w:r>
    </w:p>
    <w:p w14:paraId="7C021010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支持内部 PD/LGD 明细的导出与 Excel 导入补录，满足行内压测对风险参数维护的业务需要。</w:t>
      </w:r>
    </w:p>
    <w:p w14:paraId="4D86ACC4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190F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图：03 data process financial sync</w:t>
      </w:r>
    </w:p>
    <w:p w14:paraId="56C59BDB"/>
    <w:p w14:paraId="3007DA7E">
      <w:pPr>
        <w:pStyle w:val="5"/>
      </w:pPr>
      <w:r>
        <w:rPr>
          <w:rFonts w:ascii="宋体" w:hAnsi="宋体" w:eastAsia="宋体"/>
          <w:b/>
          <w:color w:val="142528"/>
          <w:sz w:val="24"/>
        </w:rPr>
        <w:t>导出参试银行基础信息</w:t>
      </w:r>
    </w:p>
    <w:p w14:paraId="6B296659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将按当前客户清单动态汇总的参试银行基础信息表导出为文件，供监管报送或内部分析使用。</w:t>
      </w:r>
    </w:p>
    <w:p w14:paraId="4FFC2B69">
      <w:pPr>
        <w:jc w:val="center"/>
      </w:pPr>
      <w:r>
        <w:drawing>
          <wp:inline distT="0" distB="0" distL="114300" distR="114300">
            <wp:extent cx="5303520" cy="4453255"/>
            <wp:effectExtent l="0" t="0" r="5080" b="171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5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9101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图：05 data process bank basic</w:t>
      </w:r>
    </w:p>
    <w:p w14:paraId="6E2FF75F"/>
    <w:p w14:paraId="3B12A5F0">
      <w:pPr>
        <w:pStyle w:val="5"/>
      </w:pPr>
      <w:r>
        <w:rPr>
          <w:rFonts w:ascii="宋体" w:hAnsi="宋体" w:eastAsia="宋体"/>
          <w:b/>
          <w:color w:val="142528"/>
          <w:sz w:val="24"/>
        </w:rPr>
        <w:t>导出资本与拨备监管指标 / 编辑数据</w:t>
      </w:r>
    </w:p>
    <w:p w14:paraId="2611FFC1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展示并导出核心资本、拨备率等监管指标；其中拨备相关监管要求支持手工调整，以反映参试银行实际监管口径。</w:t>
      </w:r>
    </w:p>
    <w:p w14:paraId="396505F2">
      <w:pPr>
        <w:jc w:val="center"/>
      </w:pPr>
      <w:r>
        <w:drawing>
          <wp:inline distT="0" distB="0" distL="114300" distR="114300">
            <wp:extent cx="5303520" cy="4453255"/>
            <wp:effectExtent l="0" t="0" r="5080" b="171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5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7BDF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图：05 data process bank basic</w:t>
      </w:r>
    </w:p>
    <w:p w14:paraId="221201E3"/>
    <w:p w14:paraId="6E607367">
      <w:pPr>
        <w:pStyle w:val="5"/>
      </w:pPr>
      <w:r>
        <w:rPr>
          <w:rFonts w:ascii="宋体" w:hAnsi="宋体" w:eastAsia="宋体"/>
          <w:b/>
          <w:color w:val="142528"/>
          <w:sz w:val="24"/>
        </w:rPr>
        <w:t>操作日志</w:t>
      </w:r>
    </w:p>
    <w:p w14:paraId="48EBBF38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记录任务创建、同步、导入导出等关键操作，便于审计追溯与问题排查。</w:t>
      </w:r>
    </w:p>
    <w:p w14:paraId="0387919F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9876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图：03 data process financial sync</w:t>
      </w:r>
    </w:p>
    <w:p w14:paraId="5320E2D7"/>
    <w:p w14:paraId="339E3591">
      <w:pPr>
        <w:pStyle w:val="4"/>
      </w:pPr>
      <w:r>
        <w:rPr>
          <w:rFonts w:ascii="宋体" w:hAnsi="宋体" w:eastAsia="宋体"/>
          <w:b/>
          <w:color w:val="142528"/>
          <w:sz w:val="28"/>
        </w:rPr>
        <w:t>3.2 情景分析</w:t>
      </w:r>
    </w:p>
    <w:p w14:paraId="7D464A0A">
      <w:pPr>
        <w:pStyle w:val="5"/>
      </w:pPr>
      <w:r>
        <w:rPr>
          <w:rFonts w:ascii="宋体" w:hAnsi="宋体" w:eastAsia="宋体"/>
          <w:b/>
          <w:color w:val="142528"/>
          <w:sz w:val="24"/>
        </w:rPr>
        <w:t>新建压测任务</w:t>
      </w:r>
    </w:p>
    <w:p w14:paraId="7C0ED51E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基于已完成的数据处理任务或导入 Excel 创建压测任务，作为情景分析、财务传导及后续压测步骤的统一载体。</w:t>
      </w:r>
    </w:p>
    <w:p w14:paraId="7EDA66C0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38DE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图：08 scenario analysis list</w:t>
      </w:r>
    </w:p>
    <w:p w14:paraId="602F9D95"/>
    <w:p w14:paraId="0CD9C99B">
      <w:pPr>
        <w:pStyle w:val="5"/>
      </w:pPr>
      <w:r>
        <w:rPr>
          <w:rFonts w:ascii="宋体" w:hAnsi="宋体" w:eastAsia="宋体"/>
          <w:b/>
          <w:color w:val="142528"/>
          <w:sz w:val="24"/>
        </w:rPr>
        <w:t>查询 / 重置</w:t>
      </w:r>
    </w:p>
    <w:p w14:paraId="0E2EFA23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按压测任务名称等条件检索任务列表，支持管理员在大量压测任务中快速定位目标。</w:t>
      </w:r>
    </w:p>
    <w:p w14:paraId="22AE1788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2B75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图：08 scenario analysis list</w:t>
      </w:r>
    </w:p>
    <w:p w14:paraId="739164F6"/>
    <w:p w14:paraId="4DCA8EC2">
      <w:pPr>
        <w:pStyle w:val="5"/>
      </w:pPr>
      <w:r>
        <w:rPr>
          <w:rFonts w:ascii="宋体" w:hAnsi="宋体" w:eastAsia="宋体"/>
          <w:b/>
          <w:color w:val="142528"/>
          <w:sz w:val="24"/>
        </w:rPr>
        <w:t>进入压测 / 查看</w:t>
      </w:r>
    </w:p>
    <w:p w14:paraId="1BBABE82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进入指定压测任务的流水线步骤页，继续未完成压测或查看已完成任务的情景参数与中间结果。</w:t>
      </w:r>
    </w:p>
    <w:p w14:paraId="2D091447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9613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图：08 scenario analysis list</w:t>
      </w:r>
    </w:p>
    <w:p w14:paraId="496DB652"/>
    <w:p w14:paraId="1DCF5E45">
      <w:pPr>
        <w:pStyle w:val="5"/>
      </w:pPr>
      <w:r>
        <w:rPr>
          <w:rFonts w:ascii="宋体" w:hAnsi="宋体" w:eastAsia="宋体"/>
          <w:b/>
          <w:color w:val="142528"/>
          <w:sz w:val="24"/>
        </w:rPr>
        <w:t>情景多选</w:t>
      </w:r>
    </w:p>
    <w:p w14:paraId="6C3B89A4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在同一压测任务内勾选基准、温室世界、有序转型等情景，满足监管要求的多情景并行压测需求。</w:t>
      </w:r>
    </w:p>
    <w:p w14:paraId="7ED47374">
      <w:pPr>
        <w:jc w:val="center"/>
      </w:pPr>
      <w:r>
        <w:drawing>
          <wp:inline distT="0" distB="0" distL="114300" distR="114300">
            <wp:extent cx="5303520" cy="3616960"/>
            <wp:effectExtent l="0" t="0" r="5080" b="152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6F1C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图：09 scenario analysis params</w:t>
      </w:r>
    </w:p>
    <w:p w14:paraId="4B5B0085"/>
    <w:p w14:paraId="31F29865">
      <w:pPr>
        <w:pStyle w:val="5"/>
      </w:pPr>
      <w:r>
        <w:rPr>
          <w:rFonts w:ascii="宋体" w:hAnsi="宋体" w:eastAsia="宋体"/>
          <w:b/>
          <w:color w:val="142528"/>
          <w:sz w:val="24"/>
        </w:rPr>
        <w:t>情景参数录入</w:t>
      </w:r>
    </w:p>
    <w:p w14:paraId="10944351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为各选中情景录入起始/结束年份、行业增长率、免费配额、碳价、资产负债率等参数，右侧实时预览碳排放费用走势。</w:t>
      </w:r>
    </w:p>
    <w:p w14:paraId="6A495B5B">
      <w:pPr>
        <w:jc w:val="center"/>
      </w:pPr>
      <w:r>
        <w:drawing>
          <wp:inline distT="0" distB="0" distL="114300" distR="114300">
            <wp:extent cx="5303520" cy="3616960"/>
            <wp:effectExtent l="0" t="0" r="5080" b="152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91BD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图：09 scenario analysis params</w:t>
      </w:r>
    </w:p>
    <w:p w14:paraId="53674B90"/>
    <w:p w14:paraId="626634CE">
      <w:pPr>
        <w:pStyle w:val="5"/>
      </w:pPr>
      <w:r>
        <w:rPr>
          <w:rFonts w:ascii="宋体" w:hAnsi="宋体" w:eastAsia="宋体"/>
          <w:b/>
          <w:color w:val="142528"/>
          <w:sz w:val="24"/>
        </w:rPr>
        <w:t>执行压测</w:t>
      </w:r>
    </w:p>
    <w:p w14:paraId="7DD2113E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依据已录入情景参数对客户样本执行碳费用传导试算，生成情景分析阶段的初步压测结果。</w:t>
      </w:r>
    </w:p>
    <w:p w14:paraId="478D73BF">
      <w:pPr>
        <w:jc w:val="center"/>
      </w:pPr>
      <w:r>
        <w:drawing>
          <wp:inline distT="0" distB="0" distL="114300" distR="114300">
            <wp:extent cx="5303520" cy="3616960"/>
            <wp:effectExtent l="0" t="0" r="5080" b="152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D0B0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图：09 scenario analysis params</w:t>
      </w:r>
    </w:p>
    <w:p w14:paraId="1D16DBA1"/>
    <w:p w14:paraId="5D175887">
      <w:pPr>
        <w:pStyle w:val="5"/>
      </w:pPr>
      <w:r>
        <w:rPr>
          <w:rFonts w:ascii="宋体" w:hAnsi="宋体" w:eastAsia="宋体"/>
          <w:b/>
          <w:color w:val="142528"/>
          <w:sz w:val="24"/>
        </w:rPr>
        <w:t>下一步：财务传导</w:t>
      </w:r>
    </w:p>
    <w:p w14:paraId="5018BAA0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情景分析完成后进入财务传导步骤，将碳费用影响进一步传导至企业财务指标与银行资产质量。</w:t>
      </w:r>
    </w:p>
    <w:p w14:paraId="160D3FCE">
      <w:pPr>
        <w:jc w:val="center"/>
      </w:pPr>
      <w:r>
        <w:drawing>
          <wp:inline distT="0" distB="0" distL="114300" distR="114300">
            <wp:extent cx="5303520" cy="3616960"/>
            <wp:effectExtent l="0" t="0" r="5080" b="152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172D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图：09 scenario analysis params</w:t>
      </w:r>
    </w:p>
    <w:p w14:paraId="60F109B7"/>
    <w:p w14:paraId="08FB3291">
      <w:pPr>
        <w:pStyle w:val="4"/>
      </w:pPr>
      <w:r>
        <w:rPr>
          <w:rFonts w:ascii="宋体" w:hAnsi="宋体" w:eastAsia="宋体"/>
          <w:b/>
          <w:color w:val="142528"/>
          <w:sz w:val="28"/>
        </w:rPr>
        <w:t>3.3 财务传导</w:t>
      </w:r>
    </w:p>
    <w:p w14:paraId="4EAEA8D4">
      <w:pPr>
        <w:pStyle w:val="5"/>
      </w:pPr>
      <w:r>
        <w:rPr>
          <w:rFonts w:ascii="宋体" w:hAnsi="宋体" w:eastAsia="宋体"/>
          <w:b/>
          <w:color w:val="142528"/>
          <w:sz w:val="24"/>
        </w:rPr>
        <w:t>新建压测任务</w:t>
      </w:r>
    </w:p>
    <w:p w14:paraId="2C41D19E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与情景分析共用压测任务列表，可在财务传导菜单下新建或进入任务，按流水线推进压测。</w:t>
      </w:r>
    </w:p>
    <w:p w14:paraId="40B663A9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6680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图：10 stress fin trans</w:t>
      </w:r>
    </w:p>
    <w:p w14:paraId="34FDEC7D"/>
    <w:p w14:paraId="1CE3AE00">
      <w:pPr>
        <w:pStyle w:val="5"/>
      </w:pPr>
      <w:r>
        <w:rPr>
          <w:rFonts w:ascii="宋体" w:hAnsi="宋体" w:eastAsia="宋体"/>
          <w:b/>
          <w:color w:val="142528"/>
          <w:sz w:val="24"/>
        </w:rPr>
        <w:t>执行财务传导</w:t>
      </w:r>
    </w:p>
    <w:p w14:paraId="0219D123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将情景分析得到的碳费用结果传导至客户收入、成本、净利润及资产负债率等财务指标，形成财务传导中间表。</w:t>
      </w:r>
    </w:p>
    <w:p w14:paraId="1E24EAAF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1654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图：10 stress fin trans</w:t>
      </w:r>
    </w:p>
    <w:p w14:paraId="501B7279"/>
    <w:p w14:paraId="2D65E115">
      <w:pPr>
        <w:pStyle w:val="5"/>
      </w:pPr>
      <w:r>
        <w:rPr>
          <w:rFonts w:ascii="宋体" w:hAnsi="宋体" w:eastAsia="宋体"/>
          <w:b/>
          <w:color w:val="142528"/>
          <w:sz w:val="24"/>
        </w:rPr>
        <w:t>下一步：PD/LGD计算</w:t>
      </w:r>
    </w:p>
    <w:p w14:paraId="5EADD95E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财务传导完成后进入 PD/LGD 计算步骤，为违约概率与损失率调整提供输入。</w:t>
      </w:r>
    </w:p>
    <w:p w14:paraId="6754EDD9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768D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图：10 stress fin trans</w:t>
      </w:r>
    </w:p>
    <w:p w14:paraId="2E1B44FC"/>
    <w:p w14:paraId="6FC06522">
      <w:pPr>
        <w:pStyle w:val="4"/>
      </w:pPr>
      <w:r>
        <w:rPr>
          <w:rFonts w:ascii="宋体" w:hAnsi="宋体" w:eastAsia="宋体"/>
          <w:b/>
          <w:color w:val="142528"/>
          <w:sz w:val="28"/>
        </w:rPr>
        <w:t>3.4 PD/LGD计算</w:t>
      </w:r>
    </w:p>
    <w:p w14:paraId="3B24DE0B">
      <w:pPr>
        <w:pStyle w:val="5"/>
      </w:pPr>
      <w:r>
        <w:rPr>
          <w:rFonts w:ascii="宋体" w:hAnsi="宋体" w:eastAsia="宋体"/>
          <w:b/>
          <w:color w:val="142528"/>
          <w:sz w:val="24"/>
        </w:rPr>
        <w:t>执行 PD/LGD 计算</w:t>
      </w:r>
    </w:p>
    <w:p w14:paraId="485EE858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结合财务传导结果与内部/监管 PD、LGD 参数，计算压测后客户违约概率与损失率变化，支撑资产质量评估。</w:t>
      </w:r>
    </w:p>
    <w:p w14:paraId="779ED318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DB19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图：11 stress pd lgd</w:t>
      </w:r>
    </w:p>
    <w:p w14:paraId="3A1005A0"/>
    <w:p w14:paraId="3D9CD6D7">
      <w:pPr>
        <w:pStyle w:val="5"/>
      </w:pPr>
      <w:r>
        <w:rPr>
          <w:rFonts w:ascii="宋体" w:hAnsi="宋体" w:eastAsia="宋体"/>
          <w:b/>
          <w:color w:val="142528"/>
          <w:sz w:val="24"/>
        </w:rPr>
        <w:t>下一步：不良和拨备计算</w:t>
      </w:r>
    </w:p>
    <w:p w14:paraId="122D8D94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PD/LGD 计算完成后进入不良和拨备计算步骤，汇总不良贷款与拨备计提影响。</w:t>
      </w:r>
    </w:p>
    <w:p w14:paraId="13F552DA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7507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图：11 stress pd lgd</w:t>
      </w:r>
    </w:p>
    <w:p w14:paraId="28B67EA6"/>
    <w:p w14:paraId="7C1911A2">
      <w:pPr>
        <w:pStyle w:val="4"/>
      </w:pPr>
      <w:r>
        <w:rPr>
          <w:rFonts w:ascii="宋体" w:hAnsi="宋体" w:eastAsia="宋体"/>
          <w:b/>
          <w:color w:val="142528"/>
          <w:sz w:val="28"/>
        </w:rPr>
        <w:t>3.5 不良和拨备计算</w:t>
      </w:r>
    </w:p>
    <w:p w14:paraId="175EB299">
      <w:pPr>
        <w:pStyle w:val="5"/>
      </w:pPr>
      <w:r>
        <w:rPr>
          <w:rFonts w:ascii="宋体" w:hAnsi="宋体" w:eastAsia="宋体"/>
          <w:b/>
          <w:color w:val="142528"/>
          <w:sz w:val="24"/>
        </w:rPr>
        <w:t>执行不良和拨备计算</w:t>
      </w:r>
    </w:p>
    <w:p w14:paraId="46D08FEB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基于前述步骤结果计算压测情景下不良贷款余额、拨备计提金额等监管关注指标，完成压测流水线末端计算。</w:t>
      </w:r>
    </w:p>
    <w:p w14:paraId="037ECD65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DBC9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图：12 stress npl prov</w:t>
      </w:r>
    </w:p>
    <w:p w14:paraId="41F4818A"/>
    <w:p w14:paraId="14F72FC8">
      <w:pPr>
        <w:pStyle w:val="5"/>
      </w:pPr>
      <w:r>
        <w:rPr>
          <w:rFonts w:ascii="宋体" w:hAnsi="宋体" w:eastAsia="宋体"/>
          <w:b/>
          <w:color w:val="142528"/>
          <w:sz w:val="24"/>
        </w:rPr>
        <w:t>查看压测结果分析</w:t>
      </w:r>
    </w:p>
    <w:p w14:paraId="2BDB0FF5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压测完成后跳转至结果分析模块，查看组合层面与行业层面的汇总指标及违约客户监控。</w:t>
      </w:r>
    </w:p>
    <w:p w14:paraId="6EBF6B1F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6FCC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图：12 stress npl prov</w:t>
      </w:r>
    </w:p>
    <w:p w14:paraId="1306B59B"/>
    <w:p w14:paraId="553531B0">
      <w:pPr>
        <w:pStyle w:val="4"/>
      </w:pPr>
      <w:r>
        <w:rPr>
          <w:rFonts w:ascii="宋体" w:hAnsi="宋体" w:eastAsia="宋体"/>
          <w:b/>
          <w:color w:val="142528"/>
          <w:sz w:val="28"/>
        </w:rPr>
        <w:t>3.6 压测结果分析</w:t>
      </w:r>
    </w:p>
    <w:p w14:paraId="00983E19">
      <w:pPr>
        <w:pStyle w:val="5"/>
      </w:pPr>
      <w:r>
        <w:rPr>
          <w:rFonts w:ascii="宋体" w:hAnsi="宋体" w:eastAsia="宋体"/>
          <w:b/>
          <w:color w:val="142528"/>
          <w:sz w:val="24"/>
        </w:rPr>
        <w:t>结果来源 / 年份 / 情景筛选</w:t>
      </w:r>
    </w:p>
    <w:p w14:paraId="3C926E2E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从已完成的数据处理任务或压测任务中选择结果集，并按年份、情景维度切换分析视角。</w:t>
      </w:r>
    </w:p>
    <w:p w14:paraId="793ED295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AF95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图：13 results analysis</w:t>
      </w:r>
    </w:p>
    <w:p w14:paraId="651CB95B"/>
    <w:p w14:paraId="2145F435">
      <w:pPr>
        <w:pStyle w:val="5"/>
      </w:pPr>
      <w:r>
        <w:rPr>
          <w:rFonts w:ascii="宋体" w:hAnsi="宋体" w:eastAsia="宋体"/>
          <w:b/>
          <w:color w:val="142528"/>
          <w:sz w:val="24"/>
        </w:rPr>
        <w:t>导出明细</w:t>
      </w:r>
    </w:p>
    <w:p w14:paraId="630291A5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将当前筛选条件下的压测明细结果导出为 Excel，并自动写入导出记录留痕，满足监管报送与内部分发需要。</w:t>
      </w:r>
    </w:p>
    <w:p w14:paraId="2AE75592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C64F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图：13 results analysis</w:t>
      </w:r>
    </w:p>
    <w:p w14:paraId="61C72658"/>
    <w:p w14:paraId="00C7B8A0">
      <w:pPr>
        <w:pStyle w:val="5"/>
      </w:pPr>
      <w:r>
        <w:rPr>
          <w:rFonts w:ascii="宋体" w:hAnsi="宋体" w:eastAsia="宋体"/>
          <w:b/>
          <w:color w:val="142528"/>
          <w:sz w:val="24"/>
        </w:rPr>
        <w:t>应用报送</w:t>
      </w:r>
    </w:p>
    <w:p w14:paraId="217049F0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对已完成监管口径数据处理任务，进入应用报送页面，生成监管 Excel 文件包或下发内部风险预警。</w:t>
      </w:r>
    </w:p>
    <w:p w14:paraId="5D1DE360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2736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图：13 results analysis</w:t>
      </w:r>
    </w:p>
    <w:p w14:paraId="6AD0DA5B"/>
    <w:p w14:paraId="05293B49">
      <w:pPr>
        <w:pStyle w:val="5"/>
      </w:pPr>
      <w:r>
        <w:rPr>
          <w:rFonts w:ascii="宋体" w:hAnsi="宋体" w:eastAsia="宋体"/>
          <w:b/>
          <w:color w:val="142528"/>
          <w:sz w:val="24"/>
        </w:rPr>
        <w:t>监管指标汇总表</w:t>
      </w:r>
    </w:p>
    <w:p w14:paraId="4657F85B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按监管要求展示资本、拨备、不良等关键指标的压测前后对比汇总，支撑监管沟通与内部汇报。</w:t>
      </w:r>
    </w:p>
    <w:p w14:paraId="4AE33A78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82D9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图：13 results analysis</w:t>
      </w:r>
    </w:p>
    <w:p w14:paraId="7867C846"/>
    <w:p w14:paraId="7562F14A">
      <w:pPr>
        <w:pStyle w:val="5"/>
      </w:pPr>
      <w:r>
        <w:rPr>
          <w:rFonts w:ascii="宋体" w:hAnsi="宋体" w:eastAsia="宋体"/>
          <w:b/>
          <w:color w:val="142528"/>
          <w:sz w:val="24"/>
        </w:rPr>
        <w:t>违约客户监控 / 一键下发预警</w:t>
      </w:r>
    </w:p>
    <w:p w14:paraId="553378C5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按行业展示压测新增违约/不良客户分布，支持导出监控数据并一键下发风险预警至相关管理条线。</w:t>
      </w:r>
    </w:p>
    <w:p w14:paraId="207BCBA4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397D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图：13 results analysis</w:t>
      </w:r>
    </w:p>
    <w:p w14:paraId="3FDFF683"/>
    <w:p w14:paraId="4F7B45C8">
      <w:pPr>
        <w:pStyle w:val="4"/>
      </w:pPr>
      <w:r>
        <w:rPr>
          <w:rFonts w:ascii="宋体" w:hAnsi="宋体" w:eastAsia="宋体"/>
          <w:b/>
          <w:color w:val="142528"/>
          <w:sz w:val="28"/>
        </w:rPr>
        <w:t>3.7 导出记录</w:t>
      </w:r>
    </w:p>
    <w:p w14:paraId="0D6772D0">
      <w:pPr>
        <w:pStyle w:val="5"/>
      </w:pPr>
      <w:r>
        <w:rPr>
          <w:rFonts w:ascii="宋体" w:hAnsi="宋体" w:eastAsia="宋体"/>
          <w:b/>
          <w:color w:val="142528"/>
          <w:sz w:val="24"/>
        </w:rPr>
        <w:t>查询 / 重置</w:t>
      </w:r>
    </w:p>
    <w:p w14:paraId="62BE785F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按导出类型、操作人、时间范围检索历史导出记录，便于审计与重复下载。</w:t>
      </w:r>
    </w:p>
    <w:p w14:paraId="76D9509C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1C86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图：14 exports</w:t>
      </w:r>
    </w:p>
    <w:p w14:paraId="04969C33"/>
    <w:p w14:paraId="558BAE42">
      <w:pPr>
        <w:pStyle w:val="5"/>
      </w:pPr>
      <w:r>
        <w:rPr>
          <w:rFonts w:ascii="宋体" w:hAnsi="宋体" w:eastAsia="宋体"/>
          <w:b/>
          <w:color w:val="142528"/>
          <w:sz w:val="24"/>
        </w:rPr>
        <w:t>下载</w:t>
      </w:r>
    </w:p>
    <w:p w14:paraId="457A3B94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对历史导出文件进行再次下载，避免重复执行压测或明细导出操作。</w:t>
      </w:r>
    </w:p>
    <w:p w14:paraId="6FC31963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B734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图：14 exports</w:t>
      </w:r>
    </w:p>
    <w:p w14:paraId="179B10E5"/>
    <w:p w14:paraId="579EBB08">
      <w:pPr>
        <w:pStyle w:val="4"/>
      </w:pPr>
      <w:r>
        <w:rPr>
          <w:rFonts w:ascii="宋体" w:hAnsi="宋体" w:eastAsia="宋体"/>
          <w:b/>
          <w:color w:val="142528"/>
          <w:sz w:val="28"/>
        </w:rPr>
        <w:t>3.8 基础配置 — 因子库管理</w:t>
      </w:r>
    </w:p>
    <w:p w14:paraId="24F40211">
      <w:pPr>
        <w:pStyle w:val="5"/>
      </w:pPr>
      <w:r>
        <w:rPr>
          <w:rFonts w:ascii="宋体" w:hAnsi="宋体" w:eastAsia="宋体"/>
          <w:b/>
          <w:color w:val="142528"/>
          <w:sz w:val="24"/>
        </w:rPr>
        <w:t>新增因子</w:t>
      </w:r>
    </w:p>
    <w:p w14:paraId="4101D5E6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维护各行业碳排放因子编码、国标代码、因子值及生效版本，为碳排放测算提供基础参数库。</w:t>
      </w:r>
    </w:p>
    <w:p w14:paraId="02A3A2CE">
      <w:pPr>
        <w:jc w:val="center"/>
      </w:pPr>
      <w:r>
        <w:drawing>
          <wp:inline distT="0" distB="0" distL="114300" distR="114300">
            <wp:extent cx="5303520" cy="4124960"/>
            <wp:effectExtent l="0" t="0" r="5080" b="152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0EA4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图：16 factor modal</w:t>
      </w:r>
    </w:p>
    <w:p w14:paraId="2C9002DB"/>
    <w:p w14:paraId="097C4016">
      <w:pPr>
        <w:pStyle w:val="5"/>
      </w:pPr>
      <w:r>
        <w:rPr>
          <w:rFonts w:ascii="宋体" w:hAnsi="宋体" w:eastAsia="宋体"/>
          <w:b/>
          <w:color w:val="142528"/>
          <w:sz w:val="24"/>
        </w:rPr>
        <w:t>查看 / 编辑 / 启用 / 停用 / 删除</w:t>
      </w:r>
    </w:p>
    <w:p w14:paraId="2E356C78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对因子进行全生命周期管理，确保仅生效因子参与压测计算，停用或删除过期因子以控制口径风险。</w:t>
      </w:r>
    </w:p>
    <w:p w14:paraId="1CB453C0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69A3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图：15 factors</w:t>
      </w:r>
    </w:p>
    <w:p w14:paraId="277D3541"/>
    <w:p w14:paraId="24B54133">
      <w:pPr>
        <w:pStyle w:val="4"/>
      </w:pPr>
      <w:r>
        <w:rPr>
          <w:rFonts w:ascii="宋体" w:hAnsi="宋体" w:eastAsia="宋体"/>
          <w:b/>
          <w:color w:val="142528"/>
          <w:sz w:val="28"/>
        </w:rPr>
        <w:t>3.9 基础配置 — 行业映射关系</w:t>
      </w:r>
    </w:p>
    <w:p w14:paraId="46B62401">
      <w:pPr>
        <w:pStyle w:val="5"/>
      </w:pPr>
      <w:r>
        <w:rPr>
          <w:rFonts w:ascii="宋体" w:hAnsi="宋体" w:eastAsia="宋体"/>
          <w:b/>
          <w:color w:val="142528"/>
          <w:sz w:val="24"/>
        </w:rPr>
        <w:t>新增映射</w:t>
      </w:r>
    </w:p>
    <w:p w14:paraId="4BF7F0E6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配置信贷系统接口行业与压测标准行业、国标代码的对应关系，解决样本行业口径不一致问题。</w:t>
      </w:r>
    </w:p>
    <w:p w14:paraId="4827D548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547F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图：17 mappings</w:t>
      </w:r>
    </w:p>
    <w:p w14:paraId="1EBDD380"/>
    <w:p w14:paraId="5AEEA303">
      <w:pPr>
        <w:pStyle w:val="5"/>
      </w:pPr>
      <w:r>
        <w:rPr>
          <w:rFonts w:ascii="宋体" w:hAnsi="宋体" w:eastAsia="宋体"/>
          <w:b/>
          <w:color w:val="142528"/>
          <w:sz w:val="24"/>
        </w:rPr>
        <w:t>查看 / 编辑 / 启用 / 停用 / 删除</w:t>
      </w:r>
    </w:p>
    <w:p w14:paraId="66DC7424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维护映射规则版本与状态，保障数据处理同步阶段能准确识别客户所属标准行业。</w:t>
      </w:r>
    </w:p>
    <w:p w14:paraId="37183F4A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C3D2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图：17 mappings</w:t>
      </w:r>
    </w:p>
    <w:p w14:paraId="2C4E6C0E"/>
    <w:p w14:paraId="3AF41262">
      <w:pPr>
        <w:pStyle w:val="4"/>
      </w:pPr>
      <w:r>
        <w:rPr>
          <w:rFonts w:ascii="宋体" w:hAnsi="宋体" w:eastAsia="宋体"/>
          <w:b/>
          <w:color w:val="142528"/>
          <w:sz w:val="28"/>
        </w:rPr>
        <w:t>3.10 基础配置 — 机场吞吐量维护</w:t>
      </w:r>
    </w:p>
    <w:p w14:paraId="1DE2107A">
      <w:pPr>
        <w:pStyle w:val="5"/>
      </w:pPr>
      <w:r>
        <w:rPr>
          <w:rFonts w:ascii="宋体" w:hAnsi="宋体" w:eastAsia="宋体"/>
          <w:b/>
          <w:color w:val="142528"/>
          <w:sz w:val="24"/>
        </w:rPr>
        <w:t>保存记录 / 编辑 / 删除</w:t>
      </w:r>
    </w:p>
    <w:p w14:paraId="280D7F8E">
      <w:pPr>
        <w:spacing w:after="120" w:line="360" w:lineRule="auto"/>
      </w:pPr>
      <w:r>
        <w:rPr>
          <w:rFonts w:ascii="宋体" w:hAnsi="宋体" w:eastAsia="宋体"/>
          <w:b w:val="0"/>
          <w:color w:val="142528"/>
          <w:sz w:val="22"/>
        </w:rPr>
        <w:t>维护机场企业旅客与货邮吞吐量数据，供机场类客户碳排放测算时自动调取，减少手工补录。</w:t>
      </w:r>
    </w:p>
    <w:p w14:paraId="1416DBB9">
      <w:pPr>
        <w:jc w:val="center"/>
      </w:pPr>
      <w:r>
        <w:drawing>
          <wp:inline distT="0" distB="0" distL="114300" distR="114300">
            <wp:extent cx="5303520" cy="3729990"/>
            <wp:effectExtent l="0" t="0" r="508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606A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图：18 airport throughput</w:t>
      </w:r>
      <w:bookmarkStart w:id="0" w:name="_GoBack"/>
      <w:bookmarkEnd w:id="0"/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BD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FFF</cp:lastModifiedBy>
  <dcterms:modified xsi:type="dcterms:W3CDTF">2026-07-17T19:03:29Z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B1DCA6C77EA0FF52010C5A6A341AE7B9_42</vt:lpwstr>
  </property>
</Properties>
</file>