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42528"/>
          <w:sz w:val="44"/>
        </w:rPr>
        <w:t>气候风险压测系统</w:t>
        <w:br/>
        <w:t>需求说明书</w:t>
      </w:r>
    </w:p>
    <w:p>
      <w:pPr>
        <w:jc w:val="center"/>
      </w:pPr>
      <w:r>
        <w:rPr>
          <w:rFonts w:ascii="宋体" w:hAnsi="宋体" w:eastAsia="宋体"/>
          <w:b w:val="0"/>
          <w:color w:val="142528"/>
          <w:sz w:val="24"/>
        </w:rPr>
        <w:t>华夏银行绿金系统 · 原型 v1.0</w:t>
      </w:r>
    </w:p>
    <w:p>
      <w:pPr>
        <w:jc w:val="center"/>
      </w:pPr>
      <w:r>
        <w:rPr>
          <w:rFonts w:ascii="宋体" w:hAnsi="宋体" w:eastAsia="宋体"/>
          <w:b w:val="0"/>
          <w:color w:val="142528"/>
          <w:sz w:val="24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42528"/>
          <w:sz w:val="32"/>
        </w:rPr>
        <w:t>1. 文档说明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本文档基于气候风险压测系统（完整版原型 v1.0）梳理现有菜单与功能操作，描述各功能点的业务目的与实现需求，并附系统最新界面截图，供需求评审、验收测试及后续开发参考。</w:t>
      </w:r>
    </w:p>
    <w:p>
      <w:pPr>
        <w:pStyle w:val="Heading1"/>
      </w:pPr>
      <w:r>
        <w:rPr>
          <w:rFonts w:ascii="宋体" w:hAnsi="宋体" w:eastAsia="宋体"/>
          <w:b/>
          <w:color w:val="142528"/>
          <w:sz w:val="32"/>
        </w:rPr>
        <w:t>2. 功能清单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下表汇总系统一级菜单、功能操作及简要说明。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color w:val="142528"/>
                <w:sz w:val="20"/>
              </w:rPr>
              <w:t>序号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color w:val="142528"/>
                <w:sz w:val="20"/>
              </w:rPr>
              <w:t>系统菜单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color w:val="142528"/>
                <w:sz w:val="20"/>
              </w:rPr>
              <w:t>功能名称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color w:val="142528"/>
                <w:sz w:val="20"/>
              </w:rPr>
              <w:t>功能说明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新建任务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用于创建新的数据处理任务，录入任务名称、报告年度、贷款类型、贷款地区、压测目的及涉及行业等基本信息，为后续同步信贷与财务数据建立压测样本范围。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支持按任务名称、报告年度、贷款类型、贷款地区筛选数据处理任务列表，便于管理员快速定位目标任务；重置可清空筛选条件恢复全量列表。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删除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查看以只读方式浏览任务详情与同步结果；编辑可修改任务基本信息或继续处理数据；删除用于清理草稿或不再使用的任务记录。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同步贷款数据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从信贷系统按任务概览中的贷款地区、报告年度、涉及行业、贷款类型拉取高碳行业客户贷款样本，生成客户基础信息表初始数据。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5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同步财务数据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在贷款数据同步完成后，从财务系统补充客户收入、利润、温室气体排放等字段，支撑后续碳排放与财务传导计算。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6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同步内部PD数据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针对行内压测场景，从内部系统同步客户 PD、LGD 等风险参数，为后续 PD/LGD 计算步骤提供行内口径数据。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7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状态筛选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按可使用、需计算、无法处理、已排除等状态筛选客户样本，便于聚焦待处理或异常数据。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8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 / 导入客户基础信息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导出当前客户基础信息表用于线下核对或补录；导入可将补录后的 Excel 结果回写系统，更新样本可用状态。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9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编辑温室气体排放数据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对尚未完成的数据处理任务，支持手工维护或修正客户温室气体排放量，满足碳排放测算对排放因子的输入要求。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行业甄别确认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当系统识别到行业映射歧义客户时，引导业务人员确认标准行业归属，确保后续因子匹配与压测口径一致。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一键处理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将符合条件的「需计算」样本批量标记为可使用，减少逐条确认操作，加快数据处理进度。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12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 / 导入内部PD/LGD数据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支持内部 PD/LGD 明细的导出与 Excel 导入补录，满足行内压测对风险参数维护的业务需要。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13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导出参试银行基础信息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将按当前客户清单动态汇总的参试银行基础信息表导出为文件，供监管报送或内部分析使用。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导出资本与拨备监管指标 / 编辑数据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展示并导出核心资本、拨备率等监管指标；其中拨备相关监管要求支持手工调整，以反映参试银行实际监管口径。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15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数据处理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操作日志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记录任务创建、同步、导入导出等关键操作，便于审计追溯与问题排查。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16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新建压测任务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基于已完成的数据处理任务或导入 Excel 创建压测任务，作为情景分析、财务传导及后续压测步骤的统一载体。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17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按压测任务名称等条件检索任务列表，支持管理员在大量压测任务中快速定位目标。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18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进入压测 / 查看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进入指定压测任务的流水线步骤页，继续未完成压测或查看已完成任务的情景参数与中间结果。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19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情景多选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在同一压测任务内勾选基准、温室世界、有序转型等情景，满足监管要求的多情景并行压测需求。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情景参数录入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为各选中情景录入起始/结束年份、行业增长率、免费配额、碳价、资产负债率等参数，右侧实时预览碳排放费用走势。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执行压测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依据已录入情景参数对客户样本执行碳费用传导试算，生成情景分析阶段的初步压测结果。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22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下一步：财务传导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情景分析完成后进入财务传导步骤，将碳费用影响进一步传导至企业财务指标与银行资产质量。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23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新建压测任务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与情景分析共用压测任务列表，可在财务传导菜单下新建或进入任务，按流水线推进压测。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执行财务传导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将情景分析得到的碳费用结果传导至客户收入、成本、净利润及资产负债率等财务指标，形成财务传导中间表。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25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下一步：PD/LGD计算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财务传导完成后进入 PD/LGD 计算步骤，为违约概率与损失率调整提供输入。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26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 PD/LGD 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结合财务传导结果与内部/监管 PD、LGD 参数，计算压测后客户违约概率与损失率变化，支撑资产质量评估。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27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下一步：不良和拨备计算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PD/LGD 计算完成后进入不良和拨备计算步骤，汇总不良贷款与拨备计提影响。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28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不良和拨备计算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执行不良和拨备计算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基于前述步骤结果计算压测情景下不良贷款余额、拨备计提金额等监管关注指标，完成压测流水线末端计算。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29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不良和拨备计算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压测完成后跳转至结果分析模块，查看组合层面与行业层面的汇总指标及违约客户监控。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结果来源 / 年份 / 情景筛选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从已完成的数据处理任务或压测任务中选择结果集，并按年份、情景维度切换分析视角。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导出明细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将当前筛选条件下的压测明细结果导出为 Excel，并自动写入导出记录留痕，满足监管报送与内部分发需要。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32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应用报送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对已完成监管口径数据处理任务，进入应用报送页面，生成监管 Excel 文件包或下发内部风险预警。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33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监管指标汇总表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按监管要求展示资本、拨备、不良等关键指标的压测前后对比汇总，支撑监管沟通与内部汇报。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压测结果分析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违约客户监控 / 一键下发预警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按行业展示压测新增违约/不良客户分布，支持导出监控数据并一键下发风险预警至相关管理条线。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35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导出记录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查询 / 重置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按导出类型、操作人、时间范围检索历史导出记录，便于审计与重复下载。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36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导出记录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下载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对历史导出文件进行再次下载，避免重复执行压测或明细导出操作。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37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因子库管理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新增因子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维护各行业碳排放因子编码、国标代码、因子值及生效版本，为碳排放测算提供基础参数库。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38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因子库管理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启用 / 停用 / 删除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对因子进行全生命周期管理，确保仅生效因子参与压测计算，停用或删除过期因子以控制口径风险。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39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行业映射关系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新增映射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配置信贷系统接口行业与压测标准行业、国标代码的对应关系，解决样本行业口径不一致问题。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40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行业映射关系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查看 / 编辑 / 启用 / 停用 / 删除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维护映射规则版本与状态，保障数据处理同步阶段能准确识别客户所属标准行业。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41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机场吞吐量维护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保存记录 / 编辑 / 删除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维护机场企业旅客与货邮吞吐量数据，供机场类客户碳排放测算时自动调取，减少手工补录。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42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基础配置 — 计算方法说明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计算方法文档查阅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集中展示碳排放、财务传导、PD/LGD、不良拨备等核心计算公式与口径说明，便于业务人员理解压测逻辑。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43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菜单权限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菜单显示开关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color w:val="142528"/>
                <w:sz w:val="20"/>
              </w:rPr>
              <w:t>按角色或部署需要控制各一级/二级菜单的可见性，实现不同用户群体看到适配的功能范围。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42528"/>
          <w:sz w:val="32"/>
        </w:rPr>
        <w:t>3. 功能详细说明与界面截图</w:t>
      </w:r>
    </w:p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3.1 数据处理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新建任务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用于创建新的数据处理任务，录入任务名称、报告年度、贷款类型、贷款地区、压测目的及涉及行业等基本信息，为后续同步信贷与财务数据建立压测样本范围。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process-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图：02 data process create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支持按任务名称、报告年度、贷款类型、贷款地区筛选数据处理任务列表，便于管理员快速定位目标任务；重置可清空筛选条件恢复全量列表。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ta-proces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图：01 data process list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查看 / 编辑 / 删除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查看以只读方式浏览任务详情与同步结果；编辑可修改任务基本信息或继续处理数据；删除用于清理草稿或不再使用的任务记录。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ta-proces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图：01 data process list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同步贷款数据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从信贷系统按任务概览中的贷款地区、报告年度、涉及行业、贷款类型拉取高碳行业客户贷款样本，生成客户基础信息表初始数据。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rocess-financial-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同步财务数据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在贷款数据同步完成后，从财务系统补充客户收入、利润、温室气体排放等字段，支撑后续碳排放与财务传导计算。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rocess-financial-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同步内部PD数据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针对行内压测场景，从内部系统同步客户 PD、LGD 等风险参数，为后续 PD/LGD 计算步骤提供行内口径数据。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rocess-financial-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状态筛选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按可使用、需计算、无法处理、已排除等状态筛选客户样本，便于聚焦待处理或异常数据。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14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process-customer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导出 / 导入客户基础信息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导出当前客户基础信息表用于线下核对或补录；导入可将补录后的 Excel 结果回写系统，更新样本可用状态。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14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process-customer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编辑温室气体排放数据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对尚未完成的数据处理任务，支持手工维护或修正客户温室气体排放量，满足碳排放测算对排放因子的输入要求。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14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process-customer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行业甄别确认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当系统识别到行业映射歧义客户时，引导业务人员确认标准行业归属，确保后续因子匹配与压测口径一致。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14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process-customer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一键处理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将符合条件的「需计算」样本批量标记为可使用，减少逐条确认操作，加快数据处理进度。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14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-process-customer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图：04 data process customer table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导出 / 导入内部PD/LGD数据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支持内部 PD/LGD 明细的导出与 Excel 导入补录，满足行内压测对风险参数维护的业务需要。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rocess-financial-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导出参试银行基础信息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将按当前客户清单动态汇总的参试银行基础信息表导出为文件，供监管报送或内部分析使用。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53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ta-process-bank-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图：05 data process bank basic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导出资本与拨备监管指标 / 编辑数据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展示并导出核心资本、拨备率等监管指标；其中拨备相关监管要求支持手工调整，以反映参试银行实际监管口径。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538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ta-process-bank-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5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图：05 data process bank basic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操作日志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记录任务创建、同步、导入导出等关键操作，便于审计追溯与问题排查。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-process-financial-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图：03 data process financial sync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3.2 情景分析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新建压测任务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基于已完成的数据处理任务或导入 Excel 创建压测任务，作为情景分析、财务传导及后续压测步骤的统一载体。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enario-analysi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按压测任务名称等条件检索任务列表，支持管理员在大量压测任务中快速定位目标。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enario-analysi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进入压测 / 查看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进入指定压测任务的流水线步骤页，继续未完成压测或查看已完成任务的情景参数与中间结果。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enario-analysi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图：08 scenario analysis list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情景多选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在同一压测任务内勾选基准、温室世界、有序转型等情景，满足监管要求的多情景并行压测需求。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73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enario-analysis-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情景参数录入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为各选中情景录入起始/结束年份、行业增长率、免费配额、碳价、资产负债率等参数，右侧实时预览碳排放费用走势。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73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enario-analysis-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执行压测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依据已录入情景参数对客户样本执行碳费用传导试算，生成情景分析阶段的初步压测结果。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73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enario-analysis-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下一步：财务传导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情景分析完成后进入财务传导步骤，将碳费用影响进一步传导至企业财务指标与银行资产质量。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73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enario-analysis-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图：09 scenario analysis params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3.3 财务传导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新建压测任务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与情景分析共用压测任务列表，可在财务传导菜单下新建或进入任务，按流水线推进压测。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ress-fin-tra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执行财务传导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将情景分析得到的碳费用结果传导至客户收入、成本、净利润及资产负债率等财务指标，形成财务传导中间表。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ress-fin-tra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下一步：PD/LGD计算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财务传导完成后进入 PD/LGD 计算步骤，为违约概率与损失率调整提供输入。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ress-fin-tra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图：10 stress fin trans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3.4 PD/LGD计算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执行 PD/LGD 计算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结合财务传导结果与内部/监管 PD、LGD 参数，计算压测后客户违约概率与损失率变化，支撑资产质量评估。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tress-pd-lg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图：11 stress pd lgd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下一步：不良和拨备计算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PD/LGD 计算完成后进入不良和拨备计算步骤，汇总不良贷款与拨备计提影响。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tress-pd-lg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图：11 stress pd lgd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3.5 不良和拨备计算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执行不良和拨备计算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基于前述步骤结果计算压测情景下不良贷款余额、拨备计提金额等监管关注指标，完成压测流水线末端计算。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ress-npl-pr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图：12 stress npl prov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查看压测结果分析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压测完成后跳转至结果分析模块，查看组合层面与行业层面的汇总指标及违约客户监控。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ress-npl-pr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图：12 stress npl prov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3.6 压测结果分析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结果来源 / 年份 / 情景筛选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从已完成的数据处理任务或压测任务中选择结果集，并按年份、情景维度切换分析视角。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导出明细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将当前筛选条件下的压测明细结果导出为 Excel，并自动写入导出记录留痕，满足监管报送与内部分发需要。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应用报送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对已完成监管口径数据处理任务，进入应用报送页面，生成监管 Excel 文件包或下发内部风险预警。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监管指标汇总表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按监管要求展示资本、拨备、不良等关键指标的压测前后对比汇总，支撑监管沟通与内部汇报。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违约客户监控 / 一键下发预警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按行业展示压测新增违约/不良客户分布，支持导出监控数据并一键下发风险预警至相关管理条线。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sults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图：13 results analysis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3.7 导出记录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查询 / 重置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按导出类型、操作人、时间范围检索历史导出记录，便于审计与重复下载。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o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图：14 exports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下载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对历史导出文件进行再次下载，避免重复执行压测或明细导出操作。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o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图：14 exports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3.8 基础配置 — 因子库管理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新增因子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维护各行业碳排放因子编码、国标代码、因子值及生效版本，为碳排放测算提供基础参数库。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actor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图：16 factor modal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查看 / 编辑 / 启用 / 停用 / 删除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对因子进行全生命周期管理，确保仅生效因子参与压测计算，停用或删除过期因子以控制口径风险。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ac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图：15 factors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3.9 基础配置 — 行业映射关系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新增映射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配置信贷系统接口行业与压测标准行业、国标代码的对应关系，解决样本行业口径不一致问题。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app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图：17 mappings</w:t>
      </w:r>
    </w:p>
    <w:p/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查看 / 编辑 / 启用 / 停用 / 删除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维护映射规则版本与状态，保障数据处理同步阶段能准确识别客户所属标准行业。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app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图：17 mappings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3.10 基础配置 — 机场吞吐量维护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保存记录 / 编辑 / 删除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维护机场企业旅客与货邮吞吐量数据，供机场类客户碳排放测算时自动调取，减少手工补录。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rport-through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图：18 airport throughput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3.11 基础配置 — 计算方法说明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计算方法文档查阅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集中展示碳排放、财务传导、PD/LGD、不良拨备等核心计算公式与口径说明，便于业务人员理解压测逻辑。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alc-do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图：19 calc doc</w:t>
      </w:r>
    </w:p>
    <w:p/>
    <w:p>
      <w:pPr>
        <w:pStyle w:val="Heading2"/>
      </w:pPr>
      <w:r>
        <w:rPr>
          <w:rFonts w:ascii="宋体" w:hAnsi="宋体" w:eastAsia="宋体"/>
          <w:b/>
          <w:color w:val="142528"/>
          <w:sz w:val="28"/>
        </w:rPr>
        <w:t>3.12 菜单权限</w:t>
      </w:r>
    </w:p>
    <w:p>
      <w:pPr>
        <w:pStyle w:val="Heading3"/>
      </w:pPr>
      <w:r>
        <w:rPr>
          <w:rFonts w:ascii="宋体" w:hAnsi="宋体" w:eastAsia="宋体"/>
          <w:b/>
          <w:color w:val="142528"/>
          <w:sz w:val="24"/>
        </w:rPr>
        <w:t>菜单显示开关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color w:val="142528"/>
          <w:sz w:val="22"/>
        </w:rPr>
        <w:t>按角色或部署需要控制各一级/二级菜单的可见性，实现不同用户群体看到适配的功能范围。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01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enu-perm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图：20 menu perms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