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气候风险压测数据字段与情景口径说明（完整版）</w:t>
      </w:r>
    </w:p>
    <w:p>
      <w:pPr>
        <w:ind w:left="360"/>
      </w:pPr>
      <w:r>
        <w:t>依据当前 HTML 原型、`carbon-calculation-logic.js` 以及《碳排放费用与转型风险压测计算逻辑》整理。</w:t>
      </w:r>
    </w:p>
    <w:p>
      <w:pPr>
        <w:ind w:left="360"/>
      </w:pPr>
      <w:r>
        <w:t>这份文档用于产品原型、接口字段、测试数据和业务口径讨论，不等同于最终监管报送模板。</w:t>
      </w:r>
    </w:p>
    <w:p>
      <w:pPr>
        <w:pStyle w:val="Heading2"/>
      </w:pPr>
      <w:r>
        <w:t>1. 先回答：场景只有 3 种吗？</w:t>
      </w:r>
    </w:p>
    <w:p>
      <w:r>
        <w:t>当前原始材料和原型里是 **3 种情景**：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情景分类</w:t>
            </w:r>
          </w:p>
        </w:tc>
        <w:tc>
          <w:tcPr>
            <w:tcW w:type="dxa" w:w="2160"/>
          </w:tcPr>
          <w:p>
            <w:r>
              <w:t>情景名称</w:t>
            </w:r>
          </w:p>
        </w:tc>
        <w:tc>
          <w:tcPr>
            <w:tcW w:type="dxa" w:w="2160"/>
          </w:tcPr>
          <w:p>
            <w:r>
              <w:t>当前是否在原型中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基准情景</w:t>
            </w:r>
          </w:p>
        </w:tc>
        <w:tc>
          <w:tcPr>
            <w:tcW w:type="dxa" w:w="2160"/>
          </w:tcPr>
          <w:p>
            <w:r>
              <w:t>现有政策（基准）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维持现有政策不变，作为比较基准</w:t>
            </w:r>
          </w:p>
        </w:tc>
      </w:tr>
      <w:tr>
        <w:tc>
          <w:tcPr>
            <w:tcW w:type="dxa" w:w="2160"/>
          </w:tcPr>
          <w:p>
            <w:r>
              <w:t>转型情景</w:t>
            </w:r>
          </w:p>
        </w:tc>
        <w:tc>
          <w:tcPr>
            <w:tcW w:type="dxa" w:w="2160"/>
          </w:tcPr>
          <w:p>
            <w:r>
              <w:t>温室世界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转型推进较慢，免费配额收紧幅度较低、碳价较低</w:t>
            </w:r>
          </w:p>
        </w:tc>
      </w:tr>
      <w:tr>
        <w:tc>
          <w:tcPr>
            <w:tcW w:type="dxa" w:w="2160"/>
          </w:tcPr>
          <w:p>
            <w:r>
              <w:t>转型情景</w:t>
            </w:r>
          </w:p>
        </w:tc>
        <w:tc>
          <w:tcPr>
            <w:tcW w:type="dxa" w:w="2160"/>
          </w:tcPr>
          <w:p>
            <w:r>
              <w:t>有序转型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转型推进更充分，免费配额收紧更明显、碳价更高</w:t>
            </w:r>
          </w:p>
        </w:tc>
      </w:tr>
    </w:tbl>
    <w:p>
      <w:r>
        <w:t>所以，**当前华夏银行这版原型只内置 3 种**，依据是原始材料里「设置 1 个基准情景和 2 个转型情景」。</w:t>
      </w:r>
    </w:p>
    <w:p>
      <w:r>
        <w:t>但从系统设计上，**不应该写死只能 3 种**。后续可以扩展为：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可扩展方向</w:t>
            </w:r>
          </w:p>
        </w:tc>
        <w:tc>
          <w:tcPr>
            <w:tcW w:type="dxa" w:w="4320"/>
          </w:tcPr>
          <w:p>
            <w:r>
              <w:t>举例</w:t>
            </w:r>
          </w:p>
        </w:tc>
      </w:tr>
      <w:tr>
        <w:tc>
          <w:tcPr>
            <w:tcW w:type="dxa" w:w="4320"/>
          </w:tcPr>
          <w:p>
            <w:r>
              <w:t>更多转型情景</w:t>
            </w:r>
          </w:p>
        </w:tc>
        <w:tc>
          <w:tcPr>
            <w:tcW w:type="dxa" w:w="4320"/>
          </w:tcPr>
          <w:p>
            <w:r>
              <w:t>延迟转型、无序转型、净零 2050、强化政策情景</w:t>
            </w:r>
          </w:p>
        </w:tc>
      </w:tr>
      <w:tr>
        <w:tc>
          <w:tcPr>
            <w:tcW w:type="dxa" w:w="4320"/>
          </w:tcPr>
          <w:p>
            <w:r>
              <w:t>更多物理风险情景</w:t>
            </w:r>
          </w:p>
        </w:tc>
        <w:tc>
          <w:tcPr>
            <w:tcW w:type="dxa" w:w="4320"/>
          </w:tcPr>
          <w:p>
            <w:r>
              <w:t>急性洪涝、台风、热浪、慢性升温、干旱</w:t>
            </w:r>
          </w:p>
        </w:tc>
      </w:tr>
      <w:tr>
        <w:tc>
          <w:tcPr>
            <w:tcW w:type="dxa" w:w="4320"/>
          </w:tcPr>
          <w:p>
            <w:r>
              <w:t>更多测试年份</w:t>
            </w:r>
          </w:p>
        </w:tc>
        <w:tc>
          <w:tcPr>
            <w:tcW w:type="dxa" w:w="4320"/>
          </w:tcPr>
          <w:p>
            <w:r>
              <w:t>2030、2035、2040、2050</w:t>
            </w:r>
          </w:p>
        </w:tc>
      </w:tr>
      <w:tr>
        <w:tc>
          <w:tcPr>
            <w:tcW w:type="dxa" w:w="4320"/>
          </w:tcPr>
          <w:p>
            <w:r>
              <w:t>更多政策变量</w:t>
            </w:r>
          </w:p>
        </w:tc>
        <w:tc>
          <w:tcPr>
            <w:tcW w:type="dxa" w:w="4320"/>
          </w:tcPr>
          <w:p>
            <w:r>
              <w:t>碳价路径、免费配额路径、行业增加值增速、能源价格、CCUS 成本</w:t>
            </w:r>
          </w:p>
        </w:tc>
      </w:tr>
      <w:tr>
        <w:tc>
          <w:tcPr>
            <w:tcW w:type="dxa" w:w="4320"/>
          </w:tcPr>
          <w:p>
            <w:r>
              <w:t>更多方法版本</w:t>
            </w:r>
          </w:p>
        </w:tc>
        <w:tc>
          <w:tcPr>
            <w:tcW w:type="dxa" w:w="4320"/>
          </w:tcPr>
          <w:p>
            <w:r>
              <w:t>V1.0、V2.0、监管版、行内版、审计回放版</w:t>
            </w:r>
          </w:p>
        </w:tc>
      </w:tr>
    </w:tbl>
    <w:p>
      <w:r>
        <w:t>建议页面文案可以理解为：</w:t>
      </w:r>
    </w:p>
    <w:p>
      <w:pPr>
        <w:ind w:left="360"/>
      </w:pPr>
      <w:r>
        <w:t>当前任务选择要执行的「压测情景」。当前版本内置 3 个情景，后续可在「场景计算方法配置」中扩展更多情景和版本。</w:t>
      </w:r>
    </w:p>
    <w:p/>
    <w:p>
      <w:pPr>
        <w:pStyle w:val="Heading2"/>
      </w:pPr>
      <w:r>
        <w:t>2. 压测结果的粒度</w:t>
      </w:r>
    </w:p>
    <w:p>
      <w:r>
        <w:t>压测结果不是「一个企业只出一个结果」。当前逻辑是：</w:t>
      </w:r>
    </w:p>
    <w:p>
      <w:r>
        <w:t>**1 个企业样本 × 1 个情景 = 1 行压测结果**</w:t>
      </w:r>
    </w:p>
    <w:p>
      <w:r>
        <w:t>例如：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t>勾选情景数</w:t>
            </w:r>
          </w:p>
        </w:tc>
        <w:tc>
          <w:tcPr>
            <w:tcW w:type="dxa" w:w="2880"/>
          </w:tcPr>
          <w:p>
            <w:r>
              <w:t>结果行数</w:t>
            </w:r>
          </w:p>
        </w:tc>
      </w:tr>
      <w:tr>
        <w:tc>
          <w:tcPr>
            <w:tcW w:type="dxa" w:w="2880"/>
          </w:tcPr>
          <w:p>
            <w:r>
              <w:t>3 家企业</w:t>
            </w:r>
          </w:p>
        </w:tc>
        <w:tc>
          <w:tcPr>
            <w:tcW w:type="dxa" w:w="2880"/>
          </w:tcPr>
          <w:p>
            <w:r>
              <w:t>1 个情景</w:t>
            </w:r>
          </w:p>
        </w:tc>
        <w:tc>
          <w:tcPr>
            <w:tcW w:type="dxa" w:w="2880"/>
          </w:tcPr>
          <w:p>
            <w:r>
              <w:t>3 行</w:t>
            </w:r>
          </w:p>
        </w:tc>
      </w:tr>
      <w:tr>
        <w:tc>
          <w:tcPr>
            <w:tcW w:type="dxa" w:w="2880"/>
          </w:tcPr>
          <w:p>
            <w:r>
              <w:t>3 家企业</w:t>
            </w:r>
          </w:p>
        </w:tc>
        <w:tc>
          <w:tcPr>
            <w:tcW w:type="dxa" w:w="2880"/>
          </w:tcPr>
          <w:p>
            <w:r>
              <w:t>3 个情景</w:t>
            </w:r>
          </w:p>
        </w:tc>
        <w:tc>
          <w:tcPr>
            <w:tcW w:type="dxa" w:w="2880"/>
          </w:tcPr>
          <w:p>
            <w:r>
              <w:t>9 行</w:t>
            </w:r>
          </w:p>
        </w:tc>
      </w:tr>
      <w:tr>
        <w:tc>
          <w:tcPr>
            <w:tcW w:type="dxa" w:w="2880"/>
          </w:tcPr>
          <w:p>
            <w:r>
              <w:t>100 家企业</w:t>
            </w:r>
          </w:p>
        </w:tc>
        <w:tc>
          <w:tcPr>
            <w:tcW w:type="dxa" w:w="2880"/>
          </w:tcPr>
          <w:p>
            <w:r>
              <w:t>3 个情景</w:t>
            </w:r>
          </w:p>
        </w:tc>
        <w:tc>
          <w:tcPr>
            <w:tcW w:type="dxa" w:w="2880"/>
          </w:tcPr>
          <w:p>
            <w:r>
              <w:t>300 行</w:t>
            </w:r>
          </w:p>
        </w:tc>
      </w:tr>
    </w:tbl>
    <w:p>
      <w:r>
        <w:t>所以同一家企业可能出现多行，区别是情景不同，对应碳价、免费配额、碳排放费用、ECL 后结果不同。</w:t>
      </w:r>
    </w:p>
    <w:p/>
    <w:p>
      <w:pPr>
        <w:pStyle w:val="Heading2"/>
      </w:pPr>
      <w:r>
        <w:t>3. 总体数据流</w:t>
      </w:r>
    </w:p>
    <w:p>
      <w:pPr>
        <w:pStyle w:val="IntenseQuote"/>
      </w:pPr>
      <w:r>
        <w:t>flowchart LR</w:t>
      </w:r>
    </w:p>
    <w:p>
      <w:pPr>
        <w:pStyle w:val="IntenseQuote"/>
      </w:pPr>
      <w:r>
        <w:t xml:space="preserve">  A[任务基本信息] --&gt; B[财务数据同步]</w:t>
      </w:r>
    </w:p>
    <w:p>
      <w:pPr>
        <w:pStyle w:val="IntenseQuote"/>
      </w:pPr>
      <w:r>
        <w:t xml:space="preserve">  M[行业映射] --&gt; B</w:t>
      </w:r>
    </w:p>
    <w:p>
      <w:pPr>
        <w:pStyle w:val="IntenseQuote"/>
      </w:pPr>
      <w:r>
        <w:t xml:space="preserve">  B --&gt; C[确认清单]</w:t>
      </w:r>
    </w:p>
    <w:p>
      <w:pPr>
        <w:pStyle w:val="IntenseQuote"/>
      </w:pPr>
      <w:r>
        <w:t xml:space="preserve">  C --&gt; D[行业均值补算/填充]</w:t>
      </w:r>
    </w:p>
    <w:p>
      <w:pPr>
        <w:pStyle w:val="IntenseQuote"/>
      </w:pPr>
      <w:r>
        <w:t xml:space="preserve">  F[因子库] --&gt; H[场景压测]</w:t>
      </w:r>
    </w:p>
    <w:p>
      <w:pPr>
        <w:pStyle w:val="IntenseQuote"/>
      </w:pPr>
      <w:r>
        <w:t xml:space="preserve">  S[场景计算方法] --&gt; H</w:t>
      </w:r>
    </w:p>
    <w:p>
      <w:pPr>
        <w:pStyle w:val="IntenseQuote"/>
      </w:pPr>
      <w:r>
        <w:t xml:space="preserve">  CR[信贷系统] --&gt; H</w:t>
      </w:r>
    </w:p>
    <w:p>
      <w:pPr>
        <w:pStyle w:val="IntenseQuote"/>
      </w:pPr>
      <w:r>
        <w:t xml:space="preserve">  ECL[ECL系统] --&gt; H</w:t>
      </w:r>
    </w:p>
    <w:p>
      <w:pPr>
        <w:pStyle w:val="IntenseQuote"/>
      </w:pPr>
      <w:r>
        <w:t xml:space="preserve">  D --&gt; H</w:t>
      </w:r>
    </w:p>
    <w:p>
      <w:pPr>
        <w:pStyle w:val="IntenseQuote"/>
      </w:pPr>
      <w:r>
        <w:t xml:space="preserve">  H --&gt; R[压测结果]</w:t>
      </w:r>
    </w:p>
    <w:p>
      <w:pPr>
        <w:pStyle w:val="IntenseQuote"/>
      </w:pPr>
      <w:r>
        <w:t xml:space="preserve">  H --&gt; L[操作日志]</w:t>
      </w:r>
    </w:p>
    <w:p/>
    <w:p>
      <w:pPr>
        <w:pStyle w:val="Heading2"/>
      </w:pPr>
      <w:r>
        <w:t>4. 任务基本信息字段</w:t>
      </w:r>
    </w:p>
    <w:p>
      <w:r>
        <w:t>这些字段不是直接计算字段，但决定任务口径、版本和回放依据。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</w:tr>
      <w:tr>
        <w:tc>
          <w:tcPr>
            <w:tcW w:type="dxa" w:w="1728"/>
          </w:tcPr>
          <w:p>
            <w:r>
              <w:t>taskName</w:t>
            </w:r>
          </w:p>
        </w:tc>
        <w:tc>
          <w:tcPr>
            <w:tcW w:type="dxa" w:w="1728"/>
          </w:tcPr>
          <w:p>
            <w:r>
              <w:t>任务名称</w:t>
            </w:r>
          </w:p>
        </w:tc>
        <w:tc>
          <w:tcPr>
            <w:tcW w:type="dxa" w:w="1728"/>
          </w:tcPr>
          <w:p>
            <w:r>
              <w:t>页面填写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任务识别</w:t>
            </w:r>
          </w:p>
        </w:tc>
      </w:tr>
      <w:tr>
        <w:tc>
          <w:tcPr>
            <w:tcW w:type="dxa" w:w="1728"/>
          </w:tcPr>
          <w:p>
            <w:r>
              <w:t>reportPeriodStart</w:t>
            </w:r>
          </w:p>
        </w:tc>
        <w:tc>
          <w:tcPr>
            <w:tcW w:type="dxa" w:w="1728"/>
          </w:tcPr>
          <w:p>
            <w:r>
              <w:t>报告期开始日期</w:t>
            </w:r>
          </w:p>
        </w:tc>
        <w:tc>
          <w:tcPr>
            <w:tcW w:type="dxa" w:w="1728"/>
          </w:tcPr>
          <w:p>
            <w:r>
              <w:t>页面填写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确定财务数据期间</w:t>
            </w:r>
          </w:p>
        </w:tc>
      </w:tr>
      <w:tr>
        <w:tc>
          <w:tcPr>
            <w:tcW w:type="dxa" w:w="1728"/>
          </w:tcPr>
          <w:p>
            <w:r>
              <w:t>reportPeriodEnd</w:t>
            </w:r>
          </w:p>
        </w:tc>
        <w:tc>
          <w:tcPr>
            <w:tcW w:type="dxa" w:w="1728"/>
          </w:tcPr>
          <w:p>
            <w:r>
              <w:t>报告期结束日期</w:t>
            </w:r>
          </w:p>
        </w:tc>
        <w:tc>
          <w:tcPr>
            <w:tcW w:type="dxa" w:w="1728"/>
          </w:tcPr>
          <w:p>
            <w:r>
              <w:t>页面填写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推荐因子版本、确定数据期间</w:t>
            </w:r>
          </w:p>
        </w:tc>
      </w:tr>
      <w:tr>
        <w:tc>
          <w:tcPr>
            <w:tcW w:type="dxa" w:w="1728"/>
          </w:tcPr>
          <w:p>
            <w:r>
              <w:t>dataCaliber</w:t>
            </w:r>
          </w:p>
        </w:tc>
        <w:tc>
          <w:tcPr>
            <w:tcW w:type="dxa" w:w="1728"/>
          </w:tcPr>
          <w:p>
            <w:r>
              <w:t>数据口径</w:t>
            </w:r>
          </w:p>
        </w:tc>
        <w:tc>
          <w:tcPr>
            <w:tcW w:type="dxa" w:w="1728"/>
          </w:tcPr>
          <w:p>
            <w:r>
              <w:t>页面填写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合并报表 / 母公司 / 单体报表</w:t>
            </w:r>
          </w:p>
        </w:tc>
      </w:tr>
      <w:tr>
        <w:tc>
          <w:tcPr>
            <w:tcW w:type="dxa" w:w="1728"/>
          </w:tcPr>
          <w:p>
            <w:r>
              <w:t>factorVersion</w:t>
            </w:r>
          </w:p>
        </w:tc>
        <w:tc>
          <w:tcPr>
            <w:tcW w:type="dxa" w:w="1728"/>
          </w:tcPr>
          <w:p>
            <w:r>
              <w:t>因子版本</w:t>
            </w:r>
          </w:p>
        </w:tc>
        <w:tc>
          <w:tcPr>
            <w:tcW w:type="dxa" w:w="1728"/>
          </w:tcPr>
          <w:p>
            <w:r>
              <w:t>页面选择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锁定任务使用的因子库版本</w:t>
            </w:r>
          </w:p>
        </w:tc>
      </w:tr>
      <w:tr>
        <w:tc>
          <w:tcPr>
            <w:tcW w:type="dxa" w:w="1728"/>
          </w:tcPr>
          <w:p>
            <w:r>
              <w:t>mappingVersion</w:t>
            </w:r>
          </w:p>
        </w:tc>
        <w:tc>
          <w:tcPr>
            <w:tcW w:type="dxa" w:w="1728"/>
          </w:tcPr>
          <w:p>
            <w:r>
              <w:t>映射版本</w:t>
            </w:r>
          </w:p>
        </w:tc>
        <w:tc>
          <w:tcPr>
            <w:tcW w:type="dxa" w:w="1728"/>
          </w:tcPr>
          <w:p>
            <w:r>
              <w:t>系统带入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锁定行业映射口径</w:t>
            </w:r>
          </w:p>
        </w:tc>
      </w:tr>
      <w:tr>
        <w:tc>
          <w:tcPr>
            <w:tcW w:type="dxa" w:w="1728"/>
          </w:tcPr>
          <w:p>
            <w:r>
              <w:t>scenarioVersion</w:t>
            </w:r>
          </w:p>
        </w:tc>
        <w:tc>
          <w:tcPr>
            <w:tcW w:type="dxa" w:w="1728"/>
          </w:tcPr>
          <w:p>
            <w:r>
              <w:t>场景公式版本</w:t>
            </w:r>
          </w:p>
        </w:tc>
        <w:tc>
          <w:tcPr>
            <w:tcW w:type="dxa" w:w="1728"/>
          </w:tcPr>
          <w:p>
            <w:r>
              <w:t>系统带入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锁定场景公式版本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任务说明</w:t>
            </w:r>
          </w:p>
        </w:tc>
        <w:tc>
          <w:tcPr>
            <w:tcW w:type="dxa" w:w="1728"/>
          </w:tcPr>
          <w:p>
            <w:r>
              <w:t>页面填写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补充任务范围、假设说明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当前步骤/状态</w:t>
            </w:r>
          </w:p>
        </w:tc>
        <w:tc>
          <w:tcPr>
            <w:tcW w:type="dxa" w:w="1728"/>
          </w:tcPr>
          <w:p>
            <w:r>
              <w:t>系统生成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控制流程流转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创建/更新时间</w:t>
            </w:r>
          </w:p>
        </w:tc>
        <w:tc>
          <w:tcPr>
            <w:tcW w:type="dxa" w:w="1728"/>
          </w:tcPr>
          <w:p>
            <w:r>
              <w:t>系统生成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审计留痕</w:t>
            </w:r>
          </w:p>
        </w:tc>
      </w:tr>
    </w:tbl>
    <w:p>
      <w:r>
        <w:t>说明：任务编号可以后台保留，但界面可不展示。</w:t>
      </w:r>
    </w:p>
    <w:p/>
    <w:p>
      <w:pPr>
        <w:pStyle w:val="Heading2"/>
      </w:pPr>
      <w:r>
        <w:t>5. 财务数据字段（同步财务数据）</w:t>
      </w:r>
    </w:p>
    <w:p>
      <w:r>
        <w:t>财务数据是压测最核心的输入，按「企业/客户」一条记录。</w:t>
      </w:r>
    </w:p>
    <w:p>
      <w:pPr>
        <w:pStyle w:val="Heading3"/>
      </w:pPr>
      <w:r>
        <w:t>5.1 页面清单字段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companyName</w:t>
            </w:r>
          </w:p>
        </w:tc>
        <w:tc>
          <w:tcPr>
            <w:tcW w:type="dxa" w:w="1728"/>
          </w:tcPr>
          <w:p>
            <w:r>
              <w:t>公司</w:t>
            </w:r>
          </w:p>
        </w:tc>
        <w:tc>
          <w:tcPr>
            <w:tcW w:type="dxa" w:w="1728"/>
          </w:tcPr>
          <w:p>
            <w:r>
              <w:t>财务系统/客户主数据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借款企业名称</w:t>
            </w:r>
          </w:p>
        </w:tc>
      </w:tr>
      <w:tr>
        <w:tc>
          <w:tcPr>
            <w:tcW w:type="dxa" w:w="1728"/>
          </w:tcPr>
          <w:p>
            <w:r>
              <w:t>customerId</w:t>
            </w:r>
          </w:p>
        </w:tc>
        <w:tc>
          <w:tcPr>
            <w:tcW w:type="dxa" w:w="1728"/>
          </w:tcPr>
          <w:p>
            <w:r>
              <w:t>客户号</w:t>
            </w:r>
          </w:p>
        </w:tc>
        <w:tc>
          <w:tcPr>
            <w:tcW w:type="dxa" w:w="1728"/>
          </w:tcPr>
          <w:p>
            <w:r>
              <w:t>客户主数据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与信贷、ECL 匹配更稳定</w:t>
            </w:r>
          </w:p>
        </w:tc>
      </w:tr>
      <w:tr>
        <w:tc>
          <w:tcPr>
            <w:tcW w:type="dxa" w:w="1728"/>
          </w:tcPr>
          <w:p>
            <w:r>
              <w:t>unifiedSocialCreditCode</w:t>
            </w:r>
          </w:p>
        </w:tc>
        <w:tc>
          <w:tcPr>
            <w:tcW w:type="dxa" w:w="1728"/>
          </w:tcPr>
          <w:p>
            <w:r>
              <w:t>统一社会信用代码</w:t>
            </w:r>
          </w:p>
        </w:tc>
        <w:tc>
          <w:tcPr>
            <w:tcW w:type="dxa" w:w="1728"/>
          </w:tcPr>
          <w:p>
            <w:r>
              <w:t>客户主数据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跨系统匹配备用键</w:t>
            </w:r>
          </w:p>
        </w:tc>
      </w:tr>
      <w:tr>
        <w:tc>
          <w:tcPr>
            <w:tcW w:type="dxa" w:w="1728"/>
          </w:tcPr>
          <w:p>
            <w:r>
              <w:t>branchName</w:t>
            </w:r>
          </w:p>
        </w:tc>
        <w:tc>
          <w:tcPr>
            <w:tcW w:type="dxa" w:w="1728"/>
          </w:tcPr>
          <w:p>
            <w:r>
              <w:t>分行</w:t>
            </w:r>
          </w:p>
        </w:tc>
        <w:tc>
          <w:tcPr>
            <w:tcW w:type="dxa" w:w="1728"/>
          </w:tcPr>
          <w:p>
            <w:r>
              <w:t>信贷/客户系统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管户机构</w:t>
            </w:r>
          </w:p>
        </w:tc>
      </w:tr>
      <w:tr>
        <w:tc>
          <w:tcPr>
            <w:tcW w:type="dxa" w:w="1728"/>
          </w:tcPr>
          <w:p>
            <w:r>
              <w:t>branchCode</w:t>
            </w:r>
          </w:p>
        </w:tc>
        <w:tc>
          <w:tcPr>
            <w:tcW w:type="dxa" w:w="1728"/>
          </w:tcPr>
          <w:p>
            <w:r>
              <w:t>分行代码</w:t>
            </w:r>
          </w:p>
        </w:tc>
        <w:tc>
          <w:tcPr>
            <w:tcW w:type="dxa" w:w="1728"/>
          </w:tcPr>
          <w:p>
            <w:r>
              <w:t>信贷/机构系统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统计汇总用</w:t>
            </w:r>
          </w:p>
        </w:tc>
      </w:tr>
      <w:tr>
        <w:tc>
          <w:tcPr>
            <w:tcW w:type="dxa" w:w="1728"/>
          </w:tcPr>
          <w:p>
            <w:r>
              <w:t>apiIndustry</w:t>
            </w:r>
          </w:p>
        </w:tc>
        <w:tc>
          <w:tcPr>
            <w:tcW w:type="dxa" w:w="1728"/>
          </w:tcPr>
          <w:p>
            <w:r>
              <w:t>接口行业</w:t>
            </w:r>
          </w:p>
        </w:tc>
        <w:tc>
          <w:tcPr>
            <w:tcW w:type="dxa" w:w="1728"/>
          </w:tcPr>
          <w:p>
            <w:r>
              <w:t>财务/客户系统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原始行业名称或代码</w:t>
            </w:r>
          </w:p>
        </w:tc>
      </w:tr>
      <w:tr>
        <w:tc>
          <w:tcPr>
            <w:tcW w:type="dxa" w:w="1728"/>
          </w:tcPr>
          <w:p>
            <w:r>
              <w:t>gbIndustryCode</w:t>
            </w:r>
          </w:p>
        </w:tc>
        <w:tc>
          <w:tcPr>
            <w:tcW w:type="dxa" w:w="1728"/>
          </w:tcPr>
          <w:p>
            <w:r>
              <w:t>国标行业代码</w:t>
            </w:r>
          </w:p>
        </w:tc>
        <w:tc>
          <w:tcPr>
            <w:tcW w:type="dxa" w:w="1728"/>
          </w:tcPr>
          <w:p>
            <w:r>
              <w:t>行业映射/客户系统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如 C2614、D4411</w:t>
            </w:r>
          </w:p>
        </w:tc>
      </w:tr>
      <w:tr>
        <w:tc>
          <w:tcPr>
            <w:tcW w:type="dxa" w:w="1728"/>
          </w:tcPr>
          <w:p>
            <w:r>
              <w:t>standardIndustry</w:t>
            </w:r>
          </w:p>
        </w:tc>
        <w:tc>
          <w:tcPr>
            <w:tcW w:type="dxa" w:w="1728"/>
          </w:tcPr>
          <w:p>
            <w:r>
              <w:t>标准行业</w:t>
            </w:r>
          </w:p>
        </w:tc>
        <w:tc>
          <w:tcPr>
            <w:tcW w:type="dxa" w:w="1728"/>
          </w:tcPr>
          <w:p>
            <w:r>
              <w:t>行业映射</w:t>
            </w:r>
          </w:p>
        </w:tc>
        <w:tc>
          <w:tcPr>
            <w:tcW w:type="dxa" w:w="1728"/>
          </w:tcPr>
          <w:p>
            <w:r>
              <w:t>映射成功必填</w:t>
            </w:r>
          </w:p>
        </w:tc>
        <w:tc>
          <w:tcPr>
            <w:tcW w:type="dxa" w:w="1728"/>
          </w:tcPr>
          <w:p>
            <w:r>
              <w:t>化工、钢铁、电力等</w:t>
            </w:r>
          </w:p>
        </w:tc>
      </w:tr>
      <w:tr>
        <w:tc>
          <w:tcPr>
            <w:tcW w:type="dxa" w:w="1728"/>
          </w:tcPr>
          <w:p>
            <w:r>
              <w:t>dataAvailability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系统判定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可使用 / 需计算 / 无法处理</w:t>
            </w:r>
          </w:p>
        </w:tc>
      </w:tr>
      <w:tr>
        <w:tc>
          <w:tcPr>
            <w:tcW w:type="dxa" w:w="1728"/>
          </w:tcPr>
          <w:p>
            <w:r>
              <w:t>availabilityReason</w:t>
            </w:r>
          </w:p>
        </w:tc>
        <w:tc>
          <w:tcPr>
            <w:tcW w:type="dxa" w:w="1728"/>
          </w:tcPr>
          <w:p>
            <w:r>
              <w:t>原因</w:t>
            </w:r>
          </w:p>
        </w:tc>
        <w:tc>
          <w:tcPr>
            <w:tcW w:type="dxa" w:w="1728"/>
          </w:tcPr>
          <w:p>
            <w:r>
              <w:t>系统判定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数据完整、关键指标缺失、行业未映射等</w:t>
            </w:r>
          </w:p>
        </w:tc>
      </w:tr>
      <w:tr>
        <w:tc>
          <w:tcPr>
            <w:tcW w:type="dxa" w:w="1728"/>
          </w:tcPr>
          <w:p>
            <w:r>
              <w:t>dataSource</w:t>
            </w:r>
          </w:p>
        </w:tc>
        <w:tc>
          <w:tcPr>
            <w:tcW w:type="dxa" w:w="1728"/>
          </w:tcPr>
          <w:p>
            <w:r>
              <w:t>数据来源</w:t>
            </w:r>
          </w:p>
        </w:tc>
        <w:tc>
          <w:tcPr>
            <w:tcW w:type="dxa" w:w="1728"/>
          </w:tcPr>
          <w:p>
            <w:r>
              <w:t>系统生成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接口原始 / 行业均值补算</w:t>
            </w:r>
          </w:p>
        </w:tc>
      </w:tr>
    </w:tbl>
    <w:p>
      <w:pPr>
        <w:pStyle w:val="Heading3"/>
      </w:pPr>
      <w:r>
        <w:t>5.2 财务报表字段（建议接口字段）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当前原型是否使用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营业收入(万)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推算排放、碳费、收入后结果</w:t>
            </w:r>
          </w:p>
        </w:tc>
      </w:tr>
      <w:tr>
        <w:tc>
          <w:tcPr>
            <w:tcW w:type="dxa" w:w="1728"/>
          </w:tcPr>
          <w:p>
            <w:r>
              <w:t>operatingCost</w:t>
            </w:r>
          </w:p>
        </w:tc>
        <w:tc>
          <w:tcPr>
            <w:tcW w:type="dxa" w:w="1728"/>
          </w:tcPr>
          <w:p>
            <w:r>
              <w:t>营业成本(万)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可计算成本收入比</w:t>
            </w:r>
          </w:p>
        </w:tc>
      </w:tr>
      <w:tr>
        <w:tc>
          <w:tcPr>
            <w:tcW w:type="dxa" w:w="1728"/>
          </w:tcPr>
          <w:p>
            <w:r>
              <w:t>operatingExpense</w:t>
            </w:r>
          </w:p>
        </w:tc>
        <w:tc>
          <w:tcPr>
            <w:tcW w:type="dxa" w:w="1728"/>
          </w:tcPr>
          <w:p>
            <w:r>
              <w:t>营业支出(万)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可替代成本收入比直接入模</w:t>
            </w:r>
          </w:p>
        </w:tc>
      </w:tr>
      <w:tr>
        <w:tc>
          <w:tcPr>
            <w:tcW w:type="dxa" w:w="1728"/>
          </w:tcPr>
          <w:p>
            <w:r>
              <w:t>costIncomeRatio</w:t>
            </w:r>
          </w:p>
        </w:tc>
        <w:tc>
          <w:tcPr>
            <w:tcW w:type="dxa" w:w="1728"/>
          </w:tcPr>
          <w:p>
            <w:r>
              <w:t>成本收入比</w:t>
            </w:r>
          </w:p>
        </w:tc>
        <w:tc>
          <w:tcPr>
            <w:tcW w:type="dxa" w:w="1728"/>
          </w:tcPr>
          <w:p>
            <w:r>
              <w:t>是/可计算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高碳行业支出 = 收入×成本收入比 + 碳费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行业均值展示</w:t>
            </w:r>
          </w:p>
        </w:tc>
        <w:tc>
          <w:tcPr>
            <w:tcW w:type="dxa" w:w="1728"/>
          </w:tcPr>
          <w:p>
            <w:r>
              <w:t>经营能力指标，可扩展入模</w:t>
            </w:r>
          </w:p>
        </w:tc>
      </w:tr>
      <w:tr>
        <w:tc>
          <w:tcPr>
            <w:tcW w:type="dxa" w:w="1728"/>
          </w:tcPr>
          <w:p>
            <w:r>
              <w:t>profitBeforeTax</w:t>
            </w:r>
          </w:p>
        </w:tc>
        <w:tc>
          <w:tcPr>
            <w:tcW w:type="dxa" w:w="1728"/>
          </w:tcPr>
          <w:p>
            <w:r>
              <w:t>利润总额(万)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可扩展</w:t>
            </w:r>
          </w:p>
        </w:tc>
        <w:tc>
          <w:tcPr>
            <w:tcW w:type="dxa" w:w="1728"/>
          </w:tcPr>
          <w:p>
            <w:r>
              <w:t>计算净利润前状态</w:t>
            </w:r>
          </w:p>
        </w:tc>
      </w:tr>
      <w:tr>
        <w:tc>
          <w:tcPr>
            <w:tcW w:type="dxa" w:w="1728"/>
          </w:tcPr>
          <w:p>
            <w:r>
              <w:t>netProfit</w:t>
            </w:r>
          </w:p>
        </w:tc>
        <w:tc>
          <w:tcPr>
            <w:tcW w:type="dxa" w:w="1728"/>
          </w:tcPr>
          <w:p>
            <w:r>
              <w:t>净利润(万)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可扩展</w:t>
            </w:r>
          </w:p>
        </w:tc>
        <w:tc>
          <w:tcPr>
            <w:tcW w:type="dxa" w:w="1728"/>
          </w:tcPr>
          <w:p>
            <w:r>
              <w:t>判断 CCUS 条件、资产端调整</w:t>
            </w:r>
          </w:p>
        </w:tc>
      </w:tr>
      <w:tr>
        <w:tc>
          <w:tcPr>
            <w:tcW w:type="dxa" w:w="1728"/>
          </w:tcPr>
          <w:p>
            <w:r>
              <w:t>totalAssets</w:t>
            </w:r>
          </w:p>
        </w:tc>
        <w:tc>
          <w:tcPr>
            <w:tcW w:type="dxa" w:w="1728"/>
          </w:tcPr>
          <w:p>
            <w:r>
              <w:t>资产总计(万)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违约判断预留</w:t>
            </w:r>
          </w:p>
        </w:tc>
        <w:tc>
          <w:tcPr>
            <w:tcW w:type="dxa" w:w="1728"/>
          </w:tcPr>
          <w:p>
            <w:r>
              <w:t>资产负债率与违约判定</w:t>
            </w:r>
          </w:p>
        </w:tc>
      </w:tr>
      <w:tr>
        <w:tc>
          <w:tcPr>
            <w:tcW w:type="dxa" w:w="1728"/>
          </w:tcPr>
          <w:p>
            <w:r>
              <w:t>totalLiabilities</w:t>
            </w:r>
          </w:p>
        </w:tc>
        <w:tc>
          <w:tcPr>
            <w:tcW w:type="dxa" w:w="1728"/>
          </w:tcPr>
          <w:p>
            <w:r>
              <w:t>负债合计(万)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可扩展</w:t>
            </w:r>
          </w:p>
        </w:tc>
        <w:tc>
          <w:tcPr>
            <w:tcW w:type="dxa" w:w="1728"/>
          </w:tcPr>
          <w:p>
            <w:r>
              <w:t>计算资产负债率</w:t>
            </w:r>
          </w:p>
        </w:tc>
      </w:tr>
      <w:tr>
        <w:tc>
          <w:tcPr>
            <w:tcW w:type="dxa" w:w="1728"/>
          </w:tcPr>
          <w:p>
            <w:r>
              <w:t>assetLiabilityRatio</w:t>
            </w:r>
          </w:p>
        </w:tc>
        <w:tc>
          <w:tcPr>
            <w:tcW w:type="dxa" w:w="1728"/>
          </w:tcPr>
          <w:p>
            <w:r>
              <w:t>资产负债率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是（可选）</w:t>
            </w:r>
          </w:p>
        </w:tc>
        <w:tc>
          <w:tcPr>
            <w:tcW w:type="dxa" w:w="1728"/>
          </w:tcPr>
          <w:p>
            <w:r>
              <w:t>违约判定</w:t>
            </w:r>
          </w:p>
        </w:tc>
      </w:tr>
      <w:tr>
        <w:tc>
          <w:tcPr>
            <w:tcW w:type="dxa" w:w="1728"/>
          </w:tcPr>
          <w:p>
            <w:r>
              <w:t>currentAssets</w:t>
            </w:r>
          </w:p>
        </w:tc>
        <w:tc>
          <w:tcPr>
            <w:tcW w:type="dxa" w:w="1728"/>
          </w:tcPr>
          <w:p>
            <w:r>
              <w:t>流动资产(万)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资产端冲击分配</w:t>
            </w:r>
          </w:p>
        </w:tc>
      </w:tr>
      <w:tr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货币资金(万)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净利润为负时优先抵扣</w:t>
            </w:r>
          </w:p>
        </w:tc>
      </w:tr>
      <w:tr>
        <w:tc>
          <w:tcPr>
            <w:tcW w:type="dxa" w:w="1728"/>
          </w:tcPr>
          <w:p>
            <w:r>
              <w:t>notesReceivable</w:t>
            </w:r>
          </w:p>
        </w:tc>
        <w:tc>
          <w:tcPr>
            <w:tcW w:type="dxa" w:w="1728"/>
          </w:tcPr>
          <w:p>
            <w:r>
              <w:t>应收票据(万)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资产端调整</w:t>
            </w:r>
          </w:p>
        </w:tc>
      </w:tr>
      <w:tr>
        <w:tc>
          <w:tcPr>
            <w:tcW w:type="dxa" w:w="1728"/>
          </w:tcPr>
          <w:p>
            <w:r>
              <w:t>accountsReceivable</w:t>
            </w:r>
          </w:p>
        </w:tc>
        <w:tc>
          <w:tcPr>
            <w:tcW w:type="dxa" w:w="1728"/>
          </w:tcPr>
          <w:p>
            <w:r>
              <w:t>应收账款(万)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资产端调整</w:t>
            </w:r>
          </w:p>
        </w:tc>
      </w:tr>
      <w:tr>
        <w:tc>
          <w:tcPr>
            <w:tcW w:type="dxa" w:w="1728"/>
          </w:tcPr>
          <w:p>
            <w:r>
              <w:t>inventory</w:t>
            </w:r>
          </w:p>
        </w:tc>
        <w:tc>
          <w:tcPr>
            <w:tcW w:type="dxa" w:w="1728"/>
          </w:tcPr>
          <w:p>
            <w:r>
              <w:t>存货(万)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资产端调整</w:t>
            </w:r>
          </w:p>
        </w:tc>
      </w:tr>
      <w:tr>
        <w:tc>
          <w:tcPr>
            <w:tcW w:type="dxa" w:w="1728"/>
          </w:tcPr>
          <w:p>
            <w:r>
              <w:t>fixedAssets</w:t>
            </w:r>
          </w:p>
        </w:tc>
        <w:tc>
          <w:tcPr>
            <w:tcW w:type="dxa" w:w="1728"/>
          </w:tcPr>
          <w:p>
            <w:r>
              <w:t>固定资产(万)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流动资产抵扣完后折价抵扣</w:t>
            </w:r>
          </w:p>
        </w:tc>
      </w:tr>
      <w:tr>
        <w:tc>
          <w:tcPr>
            <w:tcW w:type="dxa" w:w="1728"/>
          </w:tcPr>
          <w:p>
            <w:r>
              <w:t>ownersEquity</w:t>
            </w:r>
          </w:p>
        </w:tc>
        <w:tc>
          <w:tcPr>
            <w:tcW w:type="dxa" w:w="1728"/>
          </w:tcPr>
          <w:p>
            <w:r>
              <w:t>所有者权益(万)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净利润计入留存收益</w:t>
            </w:r>
          </w:p>
        </w:tc>
      </w:tr>
      <w:tr>
        <w:tc>
          <w:tcPr>
            <w:tcW w:type="dxa" w:w="1728"/>
          </w:tcPr>
          <w:p>
            <w:r>
              <w:t>baseNetProfitPositive</w:t>
            </w:r>
          </w:p>
        </w:tc>
        <w:tc>
          <w:tcPr>
            <w:tcW w:type="dxa" w:w="1728"/>
          </w:tcPr>
          <w:p>
            <w:r>
              <w:t>基期净利润是否为正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是（可选）</w:t>
            </w:r>
          </w:p>
        </w:tc>
        <w:tc>
          <w:tcPr>
            <w:tcW w:type="dxa" w:w="1728"/>
          </w:tcPr>
          <w:p>
            <w:r>
              <w:t>CCUS 碳价封顶资格</w:t>
            </w:r>
          </w:p>
        </w:tc>
      </w:tr>
    </w:tbl>
    <w:p>
      <w:pPr>
        <w:pStyle w:val="Heading3"/>
      </w:pPr>
      <w:r>
        <w:t>5.3 碳排放相关字段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当前原型是否使用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</w:tr>
      <w:tr>
        <w:tc>
          <w:tcPr>
            <w:tcW w:type="dxa" w:w="1728"/>
          </w:tcPr>
          <w:p>
            <w:r>
              <w:t>baseCarbonEmission</w:t>
            </w:r>
          </w:p>
        </w:tc>
        <w:tc>
          <w:tcPr>
            <w:tcW w:type="dxa" w:w="1728"/>
          </w:tcPr>
          <w:p>
            <w:r>
              <w:t>基期碳排放量(吨)</w:t>
            </w:r>
          </w:p>
        </w:tc>
        <w:tc>
          <w:tcPr>
            <w:tcW w:type="dxa" w:w="1728"/>
          </w:tcPr>
          <w:p>
            <w:r>
              <w:t>有则优先</w:t>
            </w:r>
          </w:p>
        </w:tc>
        <w:tc>
          <w:tcPr>
            <w:tcW w:type="dxa" w:w="1728"/>
          </w:tcPr>
          <w:p>
            <w:r>
              <w:t>是（可选）</w:t>
            </w:r>
          </w:p>
        </w:tc>
        <w:tc>
          <w:tcPr>
            <w:tcW w:type="dxa" w:w="1728"/>
          </w:tcPr>
          <w:p>
            <w:r>
              <w:t>有企业排放数据时计算企业因子</w:t>
            </w:r>
          </w:p>
        </w:tc>
      </w:tr>
      <w:tr>
        <w:tc>
          <w:tcPr>
            <w:tcW w:type="dxa" w:w="1728"/>
          </w:tcPr>
          <w:p>
            <w:r>
              <w:t>basePeriodRevenue</w:t>
            </w:r>
          </w:p>
        </w:tc>
        <w:tc>
          <w:tcPr>
            <w:tcW w:type="dxa" w:w="1728"/>
          </w:tcPr>
          <w:p>
            <w:r>
              <w:t>基期收入(百万元/万，需统一单位)</w:t>
            </w:r>
          </w:p>
        </w:tc>
        <w:tc>
          <w:tcPr>
            <w:tcW w:type="dxa" w:w="1728"/>
          </w:tcPr>
          <w:p>
            <w:r>
              <w:t>有排放时必填</w:t>
            </w:r>
          </w:p>
        </w:tc>
        <w:tc>
          <w:tcPr>
            <w:tcW w:type="dxa" w:w="1728"/>
          </w:tcPr>
          <w:p>
            <w:r>
              <w:t>是（可选）</w:t>
            </w:r>
          </w:p>
        </w:tc>
        <w:tc>
          <w:tcPr>
            <w:tcW w:type="dxa" w:w="1728"/>
          </w:tcPr>
          <w:p>
            <w:r>
              <w:t>企业因子 = 基期排放 ÷ 基期收入</w:t>
            </w:r>
          </w:p>
        </w:tc>
      </w:tr>
      <w:tr>
        <w:tc>
          <w:tcPr>
            <w:tcW w:type="dxa" w:w="1728"/>
          </w:tcPr>
          <w:p>
            <w:r>
              <w:t>emissionFactorCode</w:t>
            </w:r>
          </w:p>
        </w:tc>
        <w:tc>
          <w:tcPr>
            <w:tcW w:type="dxa" w:w="1728"/>
          </w:tcPr>
          <w:p>
            <w:r>
              <w:t>排放因子编码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精确匹配因子库</w:t>
            </w:r>
          </w:p>
        </w:tc>
      </w:tr>
      <w:tr>
        <w:tc>
          <w:tcPr>
            <w:tcW w:type="dxa" w:w="1728"/>
          </w:tcPr>
          <w:p>
            <w:r>
              <w:t>industryEmissionFactor</w:t>
            </w:r>
          </w:p>
        </w:tc>
        <w:tc>
          <w:tcPr>
            <w:tcW w:type="dxa" w:w="1728"/>
          </w:tcPr>
          <w:p>
            <w:r>
              <w:t>行业排放因子</w:t>
            </w:r>
          </w:p>
        </w:tc>
        <w:tc>
          <w:tcPr>
            <w:tcW w:type="dxa" w:w="1728"/>
          </w:tcPr>
          <w:p>
            <w:r>
              <w:t>系统带入</w:t>
            </w:r>
          </w:p>
        </w:tc>
        <w:tc>
          <w:tcPr>
            <w:tcW w:type="dxa" w:w="1728"/>
          </w:tcPr>
          <w:p>
            <w:r>
              <w:t>间接使用</w:t>
            </w:r>
          </w:p>
        </w:tc>
        <w:tc>
          <w:tcPr>
            <w:tcW w:type="dxa" w:w="1728"/>
          </w:tcPr>
          <w:p>
            <w:r>
              <w:t>无企业排放数据时使用</w:t>
            </w:r>
          </w:p>
        </w:tc>
      </w:tr>
      <w:tr>
        <w:tc>
          <w:tcPr>
            <w:tcW w:type="dxa" w:w="1728"/>
          </w:tcPr>
          <w:p>
            <w:r>
              <w:t>passengerThroughput</w:t>
            </w:r>
          </w:p>
        </w:tc>
        <w:tc>
          <w:tcPr>
            <w:tcW w:type="dxa" w:w="1728"/>
          </w:tcPr>
          <w:p>
            <w:r>
              <w:t>机场旅客吞吐量(万人次)</w:t>
            </w:r>
          </w:p>
        </w:tc>
        <w:tc>
          <w:tcPr>
            <w:tcW w:type="dxa" w:w="1728"/>
          </w:tcPr>
          <w:p>
            <w:r>
              <w:t>机场类必填</w:t>
            </w:r>
          </w:p>
        </w:tc>
        <w:tc>
          <w:tcPr>
            <w:tcW w:type="dxa" w:w="1728"/>
          </w:tcPr>
          <w:p>
            <w:r>
              <w:t>是（可选）</w:t>
            </w:r>
          </w:p>
        </w:tc>
        <w:tc>
          <w:tcPr>
            <w:tcW w:type="dxa" w:w="1728"/>
          </w:tcPr>
          <w:p>
            <w:r>
              <w:t>机场按吞吐量口径算排放</w:t>
            </w:r>
          </w:p>
        </w:tc>
      </w:tr>
    </w:tbl>
    <w:p/>
    <w:p>
      <w:pPr>
        <w:pStyle w:val="Heading2"/>
      </w:pPr>
      <w:r>
        <w:t>6. 行业映射字段</w:t>
      </w:r>
    </w:p>
    <w:p>
      <w:r>
        <w:t>用于把接口行业映射到标准高碳行业。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apiIndustry</w:t>
            </w:r>
          </w:p>
        </w:tc>
        <w:tc>
          <w:tcPr>
            <w:tcW w:type="dxa" w:w="2160"/>
          </w:tcPr>
          <w:p>
            <w:r>
              <w:t>接口行业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外部系统传入行业</w:t>
            </w:r>
          </w:p>
        </w:tc>
      </w:tr>
      <w:tr>
        <w:tc>
          <w:tcPr>
            <w:tcW w:type="dxa" w:w="2160"/>
          </w:tcPr>
          <w:p>
            <w:r>
              <w:t>standardIndustry</w:t>
            </w:r>
          </w:p>
        </w:tc>
        <w:tc>
          <w:tcPr>
            <w:tcW w:type="dxa" w:w="2160"/>
          </w:tcPr>
          <w:p>
            <w:r>
              <w:t>标准行业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电力、建材、钢铁、石化、化工、造纸、航空、有色等</w:t>
            </w:r>
          </w:p>
        </w:tc>
      </w:tr>
      <w:tr>
        <w:tc>
          <w:tcPr>
            <w:tcW w:type="dxa" w:w="2160"/>
          </w:tcPr>
          <w:p>
            <w:r>
              <w:t>gbCode</w:t>
            </w:r>
          </w:p>
        </w:tc>
        <w:tc>
          <w:tcPr>
            <w:tcW w:type="dxa" w:w="2160"/>
          </w:tcPr>
          <w:p>
            <w:r>
              <w:t>国标代码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GB/T 4754 行业代码</w:t>
            </w:r>
          </w:p>
        </w:tc>
      </w:tr>
      <w:tr>
        <w:tc>
          <w:tcPr>
            <w:tcW w:type="dxa" w:w="2160"/>
          </w:tcPr>
          <w:p>
            <w:r>
              <w:t>mappingType</w:t>
            </w:r>
          </w:p>
        </w:tc>
        <w:tc>
          <w:tcPr>
            <w:tcW w:type="dxa" w:w="2160"/>
          </w:tcPr>
          <w:p>
            <w:r>
              <w:t>映射类型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GB/T4754、多对一、人工维护等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任务需锁定版本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已启用/已停用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变更追溯</w:t>
            </w:r>
          </w:p>
        </w:tc>
      </w:tr>
    </w:tbl>
    <w:p>
      <w:r>
        <w:t>无映射时，企业样本状态为 **无法处理**。</w:t>
      </w:r>
    </w:p>
    <w:p/>
    <w:p>
      <w:pPr>
        <w:pStyle w:val="Heading2"/>
      </w:pPr>
      <w:r>
        <w:t>7. 因子库字段</w:t>
      </w:r>
    </w:p>
    <w:p>
      <w:r>
        <w:t>当前原型使用「行业碳排放因子」。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factorCode</w:t>
            </w:r>
          </w:p>
        </w:tc>
        <w:tc>
          <w:tcPr>
            <w:tcW w:type="dxa" w:w="2160"/>
          </w:tcPr>
          <w:p>
            <w:r>
              <w:t>因子编码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如 EMISSION_C2614</w:t>
            </w:r>
          </w:p>
        </w:tc>
      </w:tr>
      <w:tr>
        <w:tc>
          <w:tcPr>
            <w:tcW w:type="dxa" w:w="2160"/>
          </w:tcPr>
          <w:p>
            <w:r>
              <w:t>factorName</w:t>
            </w:r>
          </w:p>
        </w:tc>
        <w:tc>
          <w:tcPr>
            <w:tcW w:type="dxa" w:w="2160"/>
          </w:tcPr>
          <w:p>
            <w:r>
              <w:t>因子名称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如 化工-有机原料</w:t>
            </w:r>
          </w:p>
        </w:tc>
      </w:tr>
      <w:tr>
        <w:tc>
          <w:tcPr>
            <w:tcW w:type="dxa" w:w="2160"/>
          </w:tcPr>
          <w:p>
            <w:r>
              <w:t>gbCode</w:t>
            </w:r>
          </w:p>
        </w:tc>
        <w:tc>
          <w:tcPr>
            <w:tcW w:type="dxa" w:w="2160"/>
          </w:tcPr>
          <w:p>
            <w:r>
              <w:t>国标代码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如 C2614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行业大类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标准行业</w:t>
            </w:r>
          </w:p>
        </w:tc>
      </w:tr>
      <w:tr>
        <w:tc>
          <w:tcPr>
            <w:tcW w:type="dxa" w:w="2160"/>
          </w:tcPr>
          <w:p>
            <w:r>
              <w:t>subType</w:t>
            </w:r>
          </w:p>
        </w:tc>
        <w:tc>
          <w:tcPr>
            <w:tcW w:type="dxa" w:w="2160"/>
          </w:tcPr>
          <w:p>
            <w:r>
              <w:t>细分类型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如 燃煤发电、浮法玻璃</w:t>
            </w:r>
          </w:p>
        </w:tc>
      </w:tr>
      <w:tr>
        <w:tc>
          <w:tcPr>
            <w:tcW w:type="dxa" w:w="2160"/>
          </w:tcPr>
          <w:p>
            <w:r>
              <w:t>factorValue</w:t>
            </w:r>
          </w:p>
        </w:tc>
        <w:tc>
          <w:tcPr>
            <w:tcW w:type="dxa" w:w="2160"/>
          </w:tcPr>
          <w:p>
            <w:r>
              <w:t>因子值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tCO2e/百万元、tCO2e/万人次等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如 V2.0-行内方法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已启用/停用</w:t>
            </w:r>
          </w:p>
        </w:tc>
      </w:tr>
      <w:tr>
        <w:tc>
          <w:tcPr>
            <w:tcW w:type="dxa" w:w="2160"/>
          </w:tcPr>
          <w:p>
            <w:r>
              <w:t>effectiveFrom</w:t>
            </w:r>
          </w:p>
        </w:tc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版本管理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审计</w:t>
            </w:r>
          </w:p>
        </w:tc>
      </w:tr>
    </w:tbl>
    <w:p>
      <w:r>
        <w:t>当前内置高碳大类包括：电力、建材、钢铁、石化、化工、造纸、航空、有色。</w:t>
      </w:r>
    </w:p>
    <w:p/>
    <w:p>
      <w:pPr>
        <w:pStyle w:val="Heading2"/>
      </w:pPr>
      <w:r>
        <w:t>8. 行业均值字段</w:t>
      </w:r>
    </w:p>
    <w:p>
      <w:r>
        <w:t>当财务数据缺少收入/EBITDA 等关键指标，但行业可映射时，进入「需计算」。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标准行业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例如电力、建材</w:t>
            </w:r>
          </w:p>
        </w:tc>
      </w:tr>
      <w:tr>
        <w:tc>
          <w:tcPr>
            <w:tcW w:type="dxa" w:w="2160"/>
          </w:tcPr>
          <w:p>
            <w:r>
              <w:t>sampleCount</w:t>
            </w:r>
          </w:p>
        </w:tc>
        <w:tc>
          <w:tcPr>
            <w:tcW w:type="dxa" w:w="2160"/>
          </w:tcPr>
          <w:p>
            <w:r>
              <w:t>样本数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参与均值计算的样本数</w:t>
            </w:r>
          </w:p>
        </w:tc>
      </w:tr>
      <w:tr>
        <w:tc>
          <w:tcPr>
            <w:tcW w:type="dxa" w:w="2160"/>
          </w:tcPr>
          <w:p>
            <w:r>
              <w:t>avgRevenue</w:t>
            </w:r>
          </w:p>
        </w:tc>
        <w:tc>
          <w:tcPr>
            <w:tcW w:type="dxa" w:w="2160"/>
          </w:tcPr>
          <w:p>
            <w:r>
              <w:t>均值-收入(万)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用于填充缺失收入</w:t>
            </w:r>
          </w:p>
        </w:tc>
      </w:tr>
      <w:tr>
        <w:tc>
          <w:tcPr>
            <w:tcW w:type="dxa" w:w="2160"/>
          </w:tcPr>
          <w:p>
            <w:r>
              <w:t>avgEbitda</w:t>
            </w:r>
          </w:p>
        </w:tc>
        <w:tc>
          <w:tcPr>
            <w:tcW w:type="dxa" w:w="2160"/>
          </w:tcPr>
          <w:p>
            <w:r>
              <w:t>均值-EBITDA(万)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用于补充经营指标</w:t>
            </w:r>
          </w:p>
        </w:tc>
      </w:tr>
      <w:tr>
        <w:tc>
          <w:tcPr>
            <w:tcW w:type="dxa" w:w="2160"/>
          </w:tcPr>
          <w:p>
            <w:r>
              <w:t>calcBasis</w:t>
            </w:r>
          </w:p>
        </w:tc>
        <w:tc>
          <w:tcPr>
            <w:tcW w:type="dxa" w:w="2160"/>
          </w:tcPr>
          <w:p>
            <w:r>
              <w:t>计算依据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已确认、可使用样本</w:t>
            </w:r>
          </w:p>
        </w:tc>
      </w:tr>
      <w:tr>
        <w:tc>
          <w:tcPr>
            <w:tcW w:type="dxa" w:w="2160"/>
          </w:tcPr>
          <w:p>
            <w:r>
              <w:t>calcTime</w:t>
            </w:r>
          </w:p>
        </w:tc>
        <w:tc>
          <w:tcPr>
            <w:tcW w:type="dxa" w:w="2160"/>
          </w:tcPr>
          <w:p>
            <w:r>
              <w:t>计算时间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留痕</w:t>
            </w:r>
          </w:p>
        </w:tc>
      </w:tr>
      <w:tr>
        <w:tc>
          <w:tcPr>
            <w:tcW w:type="dxa" w:w="2160"/>
          </w:tcPr>
          <w:p>
            <w:r>
              <w:t>fillStatus</w:t>
            </w:r>
          </w:p>
        </w:tc>
        <w:tc>
          <w:tcPr>
            <w:tcW w:type="dxa" w:w="2160"/>
          </w:tcPr>
          <w:p>
            <w:r>
              <w:t>填充状态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未填充/已填充</w:t>
            </w:r>
          </w:p>
        </w:tc>
      </w:tr>
    </w:tbl>
    <w:p>
      <w:r>
        <w:t>填充后样本状态变更为 **可使用**，顶部统计也要同步变化。</w:t>
      </w:r>
    </w:p>
    <w:p/>
    <w:p>
      <w:pPr>
        <w:pStyle w:val="Heading2"/>
      </w:pPr>
      <w:r>
        <w:t>9. 信贷数据字段</w:t>
      </w:r>
    </w:p>
    <w:p>
      <w:r>
        <w:t>当前原型调取信贷数据后展示，并作为执行压测前置条件。实际业务上信贷数据应更完整。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当前原型是否使用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</w:tr>
      <w:tr>
        <w:tc>
          <w:tcPr>
            <w:tcW w:type="dxa" w:w="1728"/>
          </w:tcPr>
          <w:p>
            <w:r>
              <w:t>companyName</w:t>
            </w:r>
          </w:p>
        </w:tc>
        <w:tc>
          <w:tcPr>
            <w:tcW w:type="dxa" w:w="1728"/>
          </w:tcPr>
          <w:p>
            <w:r>
              <w:t>公司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匹配企业</w:t>
            </w:r>
          </w:p>
        </w:tc>
      </w:tr>
      <w:tr>
        <w:tc>
          <w:tcPr>
            <w:tcW w:type="dxa" w:w="1728"/>
          </w:tcPr>
          <w:p>
            <w:r>
              <w:t>customerId</w:t>
            </w:r>
          </w:p>
        </w:tc>
        <w:tc>
          <w:tcPr>
            <w:tcW w:type="dxa" w:w="1728"/>
          </w:tcPr>
          <w:p>
            <w:r>
              <w:t>客户号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稳定匹配键</w:t>
            </w:r>
          </w:p>
        </w:tc>
      </w:tr>
      <w:tr>
        <w:tc>
          <w:tcPr>
            <w:tcW w:type="dxa" w:w="1728"/>
          </w:tcPr>
          <w:p>
            <w:r>
              <w:t>loanAccountNo</w:t>
            </w:r>
          </w:p>
        </w:tc>
        <w:tc>
          <w:tcPr>
            <w:tcW w:type="dxa" w:w="1728"/>
          </w:tcPr>
          <w:p>
            <w:r>
              <w:t>借据号/贷款账号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明细级压测时使用</w:t>
            </w:r>
          </w:p>
        </w:tc>
      </w:tr>
      <w:tr>
        <w:tc>
          <w:tcPr>
            <w:tcW w:type="dxa" w:w="1728"/>
          </w:tcPr>
          <w:p>
            <w:r>
              <w:t>contractNo</w:t>
            </w:r>
          </w:p>
        </w:tc>
        <w:tc>
          <w:tcPr>
            <w:tcW w:type="dxa" w:w="1728"/>
          </w:tcPr>
          <w:p>
            <w:r>
              <w:t>合同号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追溯合同</w:t>
            </w:r>
          </w:p>
        </w:tc>
      </w:tr>
      <w:tr>
        <w:tc>
          <w:tcPr>
            <w:tcW w:type="dxa" w:w="1728"/>
          </w:tcPr>
          <w:p>
            <w:r>
              <w:t>loanBalance</w:t>
            </w:r>
          </w:p>
        </w:tc>
        <w:tc>
          <w:tcPr>
            <w:tcW w:type="dxa" w:w="1728"/>
          </w:tcPr>
          <w:p>
            <w:r>
              <w:t>贷款余额(万)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敞口规模，后续可计算不良/ECL影响</w:t>
            </w:r>
          </w:p>
        </w:tc>
      </w:tr>
      <w:tr>
        <w:tc>
          <w:tcPr>
            <w:tcW w:type="dxa" w:w="1728"/>
          </w:tcPr>
          <w:p>
            <w:r>
              <w:t>creditExposure</w:t>
            </w:r>
          </w:p>
        </w:tc>
        <w:tc>
          <w:tcPr>
            <w:tcW w:type="dxa" w:w="1728"/>
          </w:tcPr>
          <w:p>
            <w:r>
              <w:t>授信敞口(万)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授信维度汇总</w:t>
            </w:r>
          </w:p>
        </w:tc>
      </w:tr>
      <w:tr>
        <w:tc>
          <w:tcPr>
            <w:tcW w:type="dxa" w:w="1728"/>
          </w:tcPr>
          <w:p>
            <w:r>
              <w:t>productType</w:t>
            </w:r>
          </w:p>
        </w:tc>
        <w:tc>
          <w:tcPr>
            <w:tcW w:type="dxa" w:w="1728"/>
          </w:tcPr>
          <w:p>
            <w:r>
              <w:t>产品类型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流贷、项目贷、银承等</w:t>
            </w:r>
          </w:p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币种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多币种处理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起息日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剩余期限计算</w:t>
            </w:r>
          </w:p>
        </w:tc>
      </w:tr>
      <w:tr>
        <w:tc>
          <w:tcPr>
            <w:tcW w:type="dxa" w:w="1728"/>
          </w:tcPr>
          <w:p>
            <w:r>
              <w:t>maturityDate</w:t>
            </w:r>
          </w:p>
        </w:tc>
        <w:tc>
          <w:tcPr>
            <w:tcW w:type="dxa" w:w="1728"/>
          </w:tcPr>
          <w:p>
            <w:r>
              <w:t>到期日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剩余期限、期限桶</w:t>
            </w:r>
          </w:p>
        </w:tc>
      </w:tr>
      <w:tr>
        <w:tc>
          <w:tcPr>
            <w:tcW w:type="dxa" w:w="1728"/>
          </w:tcPr>
          <w:p>
            <w:r>
              <w:t>remainingTenor</w:t>
            </w:r>
          </w:p>
        </w:tc>
        <w:tc>
          <w:tcPr>
            <w:tcW w:type="dxa" w:w="1728"/>
          </w:tcPr>
          <w:p>
            <w:r>
              <w:t>剩余期限(月)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期限维度风险</w:t>
            </w:r>
          </w:p>
        </w:tc>
      </w:tr>
      <w:tr>
        <w:tc>
          <w:tcPr>
            <w:tcW w:type="dxa" w:w="1728"/>
          </w:tcPr>
          <w:p>
            <w:r>
              <w:t>interestRate</w:t>
            </w:r>
          </w:p>
        </w:tc>
        <w:tc>
          <w:tcPr>
            <w:tcW w:type="dxa" w:w="1728"/>
          </w:tcPr>
          <w:p>
            <w:r>
              <w:t>利率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收益影响测算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客户评级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风险水平</w:t>
            </w:r>
          </w:p>
        </w:tc>
      </w:tr>
      <w:tr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五级分类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正常/关注/次级等</w:t>
            </w:r>
          </w:p>
        </w:tc>
      </w:tr>
      <w:tr>
        <w:tc>
          <w:tcPr>
            <w:tcW w:type="dxa" w:w="1728"/>
          </w:tcPr>
          <w:p>
            <w:r>
              <w:t>guaranteeType</w:t>
            </w:r>
          </w:p>
        </w:tc>
        <w:tc>
          <w:tcPr>
            <w:tcW w:type="dxa" w:w="1728"/>
          </w:tcPr>
          <w:p>
            <w:r>
              <w:t>担保方式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抵押、保证、信用</w:t>
            </w:r>
          </w:p>
        </w:tc>
      </w:tr>
      <w:tr>
        <w:tc>
          <w:tcPr>
            <w:tcW w:type="dxa" w:w="1728"/>
          </w:tcPr>
          <w:p>
            <w:r>
              <w:t>collateralValue</w:t>
            </w:r>
          </w:p>
        </w:tc>
        <w:tc>
          <w:tcPr>
            <w:tcW w:type="dxa" w:w="1728"/>
          </w:tcPr>
          <w:p>
            <w:r>
              <w:t>押品价值(万)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LGD 估计扩展</w:t>
            </w:r>
          </w:p>
        </w:tc>
      </w:tr>
      <w:tr>
        <w:tc>
          <w:tcPr>
            <w:tcW w:type="dxa" w:w="1728"/>
          </w:tcPr>
          <w:p>
            <w:r>
              <w:t>branchName / branchCode</w:t>
            </w:r>
          </w:p>
        </w:tc>
        <w:tc>
          <w:tcPr>
            <w:tcW w:type="dxa" w:w="1728"/>
          </w:tcPr>
          <w:p>
            <w:r>
              <w:t>分支机构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机构汇总</w:t>
            </w:r>
          </w:p>
        </w:tc>
      </w:tr>
    </w:tbl>
    <w:p/>
    <w:p>
      <w:pPr>
        <w:pStyle w:val="Heading2"/>
      </w:pPr>
      <w:r>
        <w:t>10. ECL 数据字段</w:t>
      </w:r>
    </w:p>
    <w:p>
      <w:r>
        <w:t>当前原型主要使用 `eclAmount` 作为压测前 ECL，其他字段展示。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中文名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当前原型是否使用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</w:tr>
      <w:tr>
        <w:tc>
          <w:tcPr>
            <w:tcW w:type="dxa" w:w="1728"/>
          </w:tcPr>
          <w:p>
            <w:r>
              <w:t>companyName</w:t>
            </w:r>
          </w:p>
        </w:tc>
        <w:tc>
          <w:tcPr>
            <w:tcW w:type="dxa" w:w="1728"/>
          </w:tcPr>
          <w:p>
            <w:r>
              <w:t>公司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匹配企业</w:t>
            </w:r>
          </w:p>
        </w:tc>
      </w:tr>
      <w:tr>
        <w:tc>
          <w:tcPr>
            <w:tcW w:type="dxa" w:w="1728"/>
          </w:tcPr>
          <w:p>
            <w:r>
              <w:t>customerId</w:t>
            </w:r>
          </w:p>
        </w:tc>
        <w:tc>
          <w:tcPr>
            <w:tcW w:type="dxa" w:w="1728"/>
          </w:tcPr>
          <w:p>
            <w:r>
              <w:t>客户号</w:t>
            </w:r>
          </w:p>
        </w:tc>
        <w:tc>
          <w:tcPr>
            <w:tcW w:type="dxa" w:w="1728"/>
          </w:tcPr>
          <w:p>
            <w:r>
              <w:t>建议必填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稳定匹配</w:t>
            </w:r>
          </w:p>
        </w:tc>
      </w:tr>
      <w:tr>
        <w:tc>
          <w:tcPr>
            <w:tcW w:type="dxa" w:w="1728"/>
          </w:tcPr>
          <w:p>
            <w:r>
              <w:t>loanAccountNo</w:t>
            </w:r>
          </w:p>
        </w:tc>
        <w:tc>
          <w:tcPr>
            <w:tcW w:type="dxa" w:w="1728"/>
          </w:tcPr>
          <w:p>
            <w:r>
              <w:t>借据号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明细级匹配</w:t>
            </w:r>
          </w:p>
        </w:tc>
      </w:tr>
      <w:tr>
        <w:tc>
          <w:tcPr>
            <w:tcW w:type="dxa" w:w="1728"/>
          </w:tcPr>
          <w:p>
            <w:r>
              <w:t>pd</w:t>
            </w:r>
          </w:p>
        </w:tc>
        <w:tc>
          <w:tcPr>
            <w:tcW w:type="dxa" w:w="1728"/>
          </w:tcPr>
          <w:p>
            <w:r>
              <w:t>PD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违约概率</w:t>
            </w:r>
          </w:p>
        </w:tc>
      </w:tr>
      <w:tr>
        <w:tc>
          <w:tcPr>
            <w:tcW w:type="dxa" w:w="1728"/>
          </w:tcPr>
          <w:p>
            <w:r>
              <w:t>lgd</w:t>
            </w:r>
          </w:p>
        </w:tc>
        <w:tc>
          <w:tcPr>
            <w:tcW w:type="dxa" w:w="1728"/>
          </w:tcPr>
          <w:p>
            <w:r>
              <w:t>LGD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违约损失率</w:t>
            </w:r>
          </w:p>
        </w:tc>
      </w:tr>
      <w:tr>
        <w:tc>
          <w:tcPr>
            <w:tcW w:type="dxa" w:w="1728"/>
          </w:tcPr>
          <w:p>
            <w:r>
              <w:t>ead</w:t>
            </w:r>
          </w:p>
        </w:tc>
        <w:tc>
          <w:tcPr>
            <w:tcW w:type="dxa" w:w="1728"/>
          </w:tcPr>
          <w:p>
            <w:r>
              <w:t>EAD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风险暴露</w:t>
            </w:r>
          </w:p>
        </w:tc>
      </w:tr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减值阶段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展示</w:t>
            </w:r>
          </w:p>
        </w:tc>
        <w:tc>
          <w:tcPr>
            <w:tcW w:type="dxa" w:w="1728"/>
          </w:tcPr>
          <w:p>
            <w:r>
              <w:t>一阶段/二阶段/三阶段</w:t>
            </w:r>
          </w:p>
        </w:tc>
      </w:tr>
      <w:tr>
        <w:tc>
          <w:tcPr>
            <w:tcW w:type="dxa" w:w="1728"/>
          </w:tcPr>
          <w:p>
            <w:r>
              <w:t>eclAmount</w:t>
            </w:r>
          </w:p>
        </w:tc>
        <w:tc>
          <w:tcPr>
            <w:tcW w:type="dxa" w:w="1728"/>
          </w:tcPr>
          <w:p>
            <w:r>
              <w:t>ECL金额(万)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压测前 ECL，即 eclBefore</w:t>
            </w:r>
          </w:p>
        </w:tc>
      </w:tr>
      <w:tr>
        <w:tc>
          <w:tcPr>
            <w:tcW w:type="dxa" w:w="1728"/>
          </w:tcPr>
          <w:p>
            <w:r>
              <w:t>provision</w:t>
            </w:r>
          </w:p>
        </w:tc>
        <w:tc>
          <w:tcPr>
            <w:tcW w:type="dxa" w:w="1728"/>
          </w:tcPr>
          <w:p>
            <w:r>
              <w:t>拨备余额(万)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拨备影响扩展</w:t>
            </w:r>
          </w:p>
        </w:tc>
      </w:tr>
      <w:tr>
        <w:tc>
          <w:tcPr>
            <w:tcW w:type="dxa" w:w="1728"/>
          </w:tcPr>
          <w:p>
            <w:r>
              <w:t>modelVersion</w:t>
            </w:r>
          </w:p>
        </w:tc>
        <w:tc>
          <w:tcPr>
            <w:tcW w:type="dxa" w:w="1728"/>
          </w:tcPr>
          <w:p>
            <w:r>
              <w:t>ECL模型版本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审计回放</w:t>
            </w:r>
          </w:p>
        </w:tc>
      </w:tr>
      <w:tr>
        <w:tc>
          <w:tcPr>
            <w:tcW w:type="dxa" w:w="1728"/>
          </w:tcPr>
          <w:p>
            <w:r>
              <w:t>measurementDate</w:t>
            </w:r>
          </w:p>
        </w:tc>
        <w:tc>
          <w:tcPr>
            <w:tcW w:type="dxa" w:w="1728"/>
          </w:tcPr>
          <w:p>
            <w:r>
              <w:t>计量日期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与报告期匹配</w:t>
            </w:r>
          </w:p>
        </w:tc>
      </w:tr>
      <w:tr>
        <w:tc>
          <w:tcPr>
            <w:tcW w:type="dxa" w:w="1728"/>
          </w:tcPr>
          <w:p>
            <w:r>
              <w:t>ratingBefore</w:t>
            </w:r>
          </w:p>
        </w:tc>
        <w:tc>
          <w:tcPr>
            <w:tcW w:type="dxa" w:w="1728"/>
          </w:tcPr>
          <w:p>
            <w:r>
              <w:t>压测前评级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迁徙分析</w:t>
            </w:r>
          </w:p>
        </w:tc>
      </w:tr>
      <w:tr>
        <w:tc>
          <w:tcPr>
            <w:tcW w:type="dxa" w:w="1728"/>
          </w:tcPr>
          <w:p>
            <w:r>
              <w:t>pdTermStructure</w:t>
            </w:r>
          </w:p>
        </w:tc>
        <w:tc>
          <w:tcPr>
            <w:tcW w:type="dxa" w:w="1728"/>
          </w:tcPr>
          <w:p>
            <w:r>
              <w:t>PD期限结构</w:t>
            </w:r>
          </w:p>
        </w:tc>
        <w:tc>
          <w:tcPr>
            <w:tcW w:type="dxa" w:w="1728"/>
          </w:tcPr>
          <w:p>
            <w:r>
              <w:t>扩展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多期ECL扩展</w:t>
            </w:r>
          </w:p>
        </w:tc>
      </w:tr>
    </w:tbl>
    <w:p>
      <w:r>
        <w:t>当前原型简化：</w:t>
      </w:r>
    </w:p>
    <w:p>
      <w:r>
        <w:t>`ECL后 = ECL前 × (1 + min(影响率 × 2, 0.5))`</w:t>
      </w:r>
    </w:p>
    <w:p>
      <w:r>
        <w:t>实际生产系统可改为：气候冲击 → 财务指标变化 → 评级迁徙/PD上调 → ECL重算。</w:t>
      </w:r>
    </w:p>
    <w:p/>
    <w:p>
      <w:pPr>
        <w:pStyle w:val="Heading2"/>
      </w:pPr>
      <w:r>
        <w:t>11. 场景配置字段</w:t>
      </w:r>
    </w:p>
    <w:p>
      <w:r>
        <w:t>场景不是固定只能 3 个，系统应按配置驱动。当前原型内置 3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中文名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scenarioCode</w:t>
            </w:r>
          </w:p>
        </w:tc>
        <w:tc>
          <w:tcPr>
            <w:tcW w:type="dxa" w:w="2160"/>
          </w:tcPr>
          <w:p>
            <w:r>
              <w:t>场景编码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BASELINE、GREENHOUSE_WORLD 等</w:t>
            </w:r>
          </w:p>
        </w:tc>
      </w:tr>
      <w:tr>
        <w:tc>
          <w:tcPr>
            <w:tcW w:type="dxa" w:w="2160"/>
          </w:tcPr>
          <w:p>
            <w:r>
              <w:t>scenarioName</w:t>
            </w:r>
          </w:p>
        </w:tc>
        <w:tc>
          <w:tcPr>
            <w:tcW w:type="dxa" w:w="2160"/>
          </w:tcPr>
          <w:p>
            <w:r>
              <w:t>场景名称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现有政策、温室世界、有序转型</w:t>
            </w:r>
          </w:p>
        </w:tc>
      </w:tr>
      <w:tr>
        <w:tc>
          <w:tcPr>
            <w:tcW w:type="dxa" w:w="2160"/>
          </w:tcPr>
          <w:p>
            <w:r>
              <w:t>scenarioType</w:t>
            </w:r>
          </w:p>
        </w:tc>
        <w:tc>
          <w:tcPr>
            <w:tcW w:type="dxa" w:w="2160"/>
          </w:tcPr>
          <w:p>
            <w:r>
              <w:t>场景类型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TRANSITION / PHYSICAL / COMBINED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任务锁定版本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草稿/已生效/停用</w:t>
            </w:r>
          </w:p>
        </w:tc>
      </w:tr>
      <w:tr>
        <w:tc>
          <w:tcPr>
            <w:tcW w:type="dxa" w:w="2160"/>
          </w:tcPr>
          <w:p>
            <w:r>
              <w:t>publishedAt</w:t>
            </w:r>
          </w:p>
        </w:tc>
        <w:tc>
          <w:tcPr>
            <w:tcW w:type="dxa" w:w="2160"/>
          </w:tcPr>
          <w:p>
            <w:r>
              <w:t>生效时间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发布留痕</w:t>
            </w:r>
          </w:p>
        </w:tc>
      </w:tr>
      <w:tr>
        <w:tc>
          <w:tcPr>
            <w:tcW w:type="dxa" w:w="2160"/>
          </w:tcPr>
          <w:p>
            <w:r>
              <w:t>testYear</w:t>
            </w:r>
          </w:p>
        </w:tc>
        <w:tc>
          <w:tcPr>
            <w:tcW w:type="dxa" w:w="2160"/>
          </w:tcPr>
          <w:p>
            <w:r>
              <w:t>测试年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默认 2040，可扩展 2030/2035/2050</w:t>
            </w:r>
          </w:p>
        </w:tc>
      </w:tr>
      <w:tr>
        <w:tc>
          <w:tcPr>
            <w:tcW w:type="dxa" w:w="2160"/>
          </w:tcPr>
          <w:p>
            <w:r>
              <w:t>baseYear</w:t>
            </w:r>
          </w:p>
        </w:tc>
        <w:tc>
          <w:tcPr>
            <w:tcW w:type="dxa" w:w="2160"/>
          </w:tcPr>
          <w:p>
            <w:r>
              <w:t>基期年份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如 2025</w:t>
            </w:r>
          </w:p>
        </w:tc>
      </w:tr>
      <w:tr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公式说明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公式文本</w:t>
            </w:r>
          </w:p>
        </w:tc>
      </w:tr>
      <w:tr>
        <w:tc>
          <w:tcPr>
            <w:tcW w:type="dxa" w:w="2160"/>
          </w:tcPr>
          <w:p>
            <w:r>
              <w:t>inputFields</w:t>
            </w:r>
          </w:p>
        </w:tc>
        <w:tc>
          <w:tcPr>
            <w:tcW w:type="dxa" w:w="2160"/>
          </w:tcPr>
          <w:p>
            <w:r>
              <w:t>输入字段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公式依赖字段</w:t>
            </w:r>
          </w:p>
        </w:tc>
      </w:tr>
      <w:tr>
        <w:tc>
          <w:tcPr>
            <w:tcW w:type="dxa" w:w="2160"/>
          </w:tcPr>
          <w:p>
            <w:r>
              <w:t>outputFields</w:t>
            </w:r>
          </w:p>
        </w:tc>
        <w:tc>
          <w:tcPr>
            <w:tcW w:type="dxa" w:w="2160"/>
          </w:tcPr>
          <w:p>
            <w:r>
              <w:t>输出字段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结果输出字段</w:t>
            </w:r>
          </w:p>
        </w:tc>
      </w:tr>
      <w:tr>
        <w:tc>
          <w:tcPr>
            <w:tcW w:type="dxa" w:w="2160"/>
          </w:tcPr>
          <w:p>
            <w:r>
              <w:t>freeQuota2025</w:t>
            </w:r>
          </w:p>
        </w:tc>
        <w:tc>
          <w:tcPr>
            <w:tcW w:type="dxa" w:w="2160"/>
          </w:tcPr>
          <w:p>
            <w:r>
              <w:t>2025免费配额</w:t>
            </w:r>
          </w:p>
        </w:tc>
        <w:tc>
          <w:tcPr>
            <w:tcW w:type="dxa" w:w="2160"/>
          </w:tcPr>
          <w:p>
            <w:r>
              <w:t>转型情景必填</w:t>
            </w:r>
          </w:p>
        </w:tc>
        <w:tc>
          <w:tcPr>
            <w:tcW w:type="dxa" w:w="2160"/>
          </w:tcPr>
          <w:p>
            <w:r>
              <w:t>当前为 100%</w:t>
            </w:r>
          </w:p>
        </w:tc>
      </w:tr>
      <w:tr>
        <w:tc>
          <w:tcPr>
            <w:tcW w:type="dxa" w:w="2160"/>
          </w:tcPr>
          <w:p>
            <w:r>
              <w:t>freeQuota2040</w:t>
            </w:r>
          </w:p>
        </w:tc>
        <w:tc>
          <w:tcPr>
            <w:tcW w:type="dxa" w:w="2160"/>
          </w:tcPr>
          <w:p>
            <w:r>
              <w:t>2040免费配额</w:t>
            </w:r>
          </w:p>
        </w:tc>
        <w:tc>
          <w:tcPr>
            <w:tcW w:type="dxa" w:w="2160"/>
          </w:tcPr>
          <w:p>
            <w:r>
              <w:t>转型情景必填</w:t>
            </w:r>
          </w:p>
        </w:tc>
        <w:tc>
          <w:tcPr>
            <w:tcW w:type="dxa" w:w="2160"/>
          </w:tcPr>
          <w:p>
            <w:r>
              <w:t>当前三情景不同</w:t>
            </w:r>
          </w:p>
        </w:tc>
      </w:tr>
      <w:tr>
        <w:tc>
          <w:tcPr>
            <w:tcW w:type="dxa" w:w="2160"/>
          </w:tcPr>
          <w:p>
            <w:r>
              <w:t>carbonPrice2025</w:t>
            </w:r>
          </w:p>
        </w:tc>
        <w:tc>
          <w:tcPr>
            <w:tcW w:type="dxa" w:w="2160"/>
          </w:tcPr>
          <w:p>
            <w:r>
              <w:t>2025碳价</w:t>
            </w:r>
          </w:p>
        </w:tc>
        <w:tc>
          <w:tcPr>
            <w:tcW w:type="dxa" w:w="2160"/>
          </w:tcPr>
          <w:p>
            <w:r>
              <w:t>转型情景必填</w:t>
            </w:r>
          </w:p>
        </w:tc>
        <w:tc>
          <w:tcPr>
            <w:tcW w:type="dxa" w:w="2160"/>
          </w:tcPr>
          <w:p>
            <w:r>
              <w:t>当前 80 元/吨</w:t>
            </w:r>
          </w:p>
        </w:tc>
      </w:tr>
      <w:tr>
        <w:tc>
          <w:tcPr>
            <w:tcW w:type="dxa" w:w="2160"/>
          </w:tcPr>
          <w:p>
            <w:r>
              <w:t>carbonPrice2040</w:t>
            </w:r>
          </w:p>
        </w:tc>
        <w:tc>
          <w:tcPr>
            <w:tcW w:type="dxa" w:w="2160"/>
          </w:tcPr>
          <w:p>
            <w:r>
              <w:t>2040碳价</w:t>
            </w:r>
          </w:p>
        </w:tc>
        <w:tc>
          <w:tcPr>
            <w:tcW w:type="dxa" w:w="2160"/>
          </w:tcPr>
          <w:p>
            <w:r>
              <w:t>转型情景必填</w:t>
            </w:r>
          </w:p>
        </w:tc>
        <w:tc>
          <w:tcPr>
            <w:tcW w:type="dxa" w:w="2160"/>
          </w:tcPr>
          <w:p>
            <w:r>
              <w:t>当前三情景不同</w:t>
            </w:r>
          </w:p>
        </w:tc>
      </w:tr>
      <w:tr>
        <w:tc>
          <w:tcPr>
            <w:tcW w:type="dxa" w:w="2160"/>
          </w:tcPr>
          <w:p>
            <w:r>
              <w:t>revenueGrowthPath</w:t>
            </w:r>
          </w:p>
        </w:tc>
        <w:tc>
          <w:tcPr>
            <w:tcW w:type="dxa" w:w="2160"/>
          </w:tcPr>
          <w:p>
            <w:r>
              <w:t>收入/行业增加值增速路径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当前原型默认 2%</w:t>
            </w:r>
          </w:p>
        </w:tc>
      </w:tr>
      <w:tr>
        <w:tc>
          <w:tcPr>
            <w:tcW w:type="dxa" w:w="2160"/>
          </w:tcPr>
          <w:p>
            <w:r>
              <w:t>costPassThrough</w:t>
            </w:r>
          </w:p>
        </w:tc>
        <w:tc>
          <w:tcPr>
            <w:tcW w:type="dxa" w:w="2160"/>
          </w:tcPr>
          <w:p>
            <w:r>
              <w:t>成本转嫁能力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原始口径：不具备议价能力，无法转嫁</w:t>
            </w:r>
          </w:p>
        </w:tc>
      </w:tr>
      <w:tr>
        <w:tc>
          <w:tcPr>
            <w:tcW w:type="dxa" w:w="2160"/>
          </w:tcPr>
          <w:p>
            <w:r>
              <w:t>ccusEnabled</w:t>
            </w:r>
          </w:p>
        </w:tc>
        <w:tc>
          <w:tcPr>
            <w:tcW w:type="dxa" w:w="2160"/>
          </w:tcPr>
          <w:p>
            <w:r>
              <w:t>是否考虑CCUS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可用于碳价上限</w:t>
            </w:r>
          </w:p>
        </w:tc>
      </w:tr>
      <w:tr>
        <w:tc>
          <w:tcPr>
            <w:tcW w:type="dxa" w:w="2160"/>
          </w:tcPr>
          <w:p>
            <w:r>
              <w:t>ccusPriceCap</w:t>
            </w:r>
          </w:p>
        </w:tc>
        <w:tc>
          <w:tcPr>
            <w:tcW w:type="dxa" w:w="2160"/>
          </w:tcPr>
          <w:p>
            <w:r>
              <w:t>CCUS成本上限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当前逻辑 500 元/吨</w:t>
            </w:r>
          </w:p>
        </w:tc>
      </w:tr>
      <w:tr>
        <w:tc>
          <w:tcPr>
            <w:tcW w:type="dxa" w:w="2160"/>
          </w:tcPr>
          <w:p>
            <w:r>
              <w:t>physicalHazardType</w:t>
            </w:r>
          </w:p>
        </w:tc>
        <w:tc>
          <w:tcPr>
            <w:tcW w:type="dxa" w:w="2160"/>
          </w:tcPr>
          <w:p>
            <w:r>
              <w:t>物理风险类型</w:t>
            </w:r>
          </w:p>
        </w:tc>
        <w:tc>
          <w:tcPr>
            <w:tcW w:type="dxa" w:w="2160"/>
          </w:tcPr>
          <w:p>
            <w:r>
              <w:t>物理风险必填</w:t>
            </w:r>
          </w:p>
        </w:tc>
        <w:tc>
          <w:tcPr>
            <w:tcW w:type="dxa" w:w="2160"/>
          </w:tcPr>
          <w:p>
            <w:r>
              <w:t>洪涝、台风、热浪等</w:t>
            </w:r>
          </w:p>
        </w:tc>
      </w:tr>
      <w:tr>
        <w:tc>
          <w:tcPr>
            <w:tcW w:type="dxa" w:w="2160"/>
          </w:tcPr>
          <w:p>
            <w:r>
              <w:t>physicalDamageRate</w:t>
            </w:r>
          </w:p>
        </w:tc>
        <w:tc>
          <w:tcPr>
            <w:tcW w:type="dxa" w:w="2160"/>
          </w:tcPr>
          <w:p>
            <w:r>
              <w:t>物理损失率</w:t>
            </w:r>
          </w:p>
        </w:tc>
        <w:tc>
          <w:tcPr>
            <w:tcW w:type="dxa" w:w="2160"/>
          </w:tcPr>
          <w:p>
            <w:r>
              <w:t>物理风险必填</w:t>
            </w:r>
          </w:p>
        </w:tc>
        <w:tc>
          <w:tcPr>
            <w:tcW w:type="dxa" w:w="2160"/>
          </w:tcPr>
          <w:p>
            <w:r>
              <w:t>资产/收入冲击比例</w:t>
            </w:r>
          </w:p>
        </w:tc>
      </w:tr>
    </w:tbl>
    <w:p>
      <w:pPr>
        <w:pStyle w:val="Heading3"/>
      </w:pPr>
      <w:r>
        <w:t>11.1 当前内置 3 个情景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情景编码</w:t>
            </w:r>
          </w:p>
        </w:tc>
        <w:tc>
          <w:tcPr>
            <w:tcW w:type="dxa" w:w="1234"/>
          </w:tcPr>
          <w:p>
            <w:r>
              <w:t>情景名称</w:t>
            </w:r>
          </w:p>
        </w:tc>
        <w:tc>
          <w:tcPr>
            <w:tcW w:type="dxa" w:w="1234"/>
          </w:tcPr>
          <w:p>
            <w:r>
              <w:t>类型</w:t>
            </w:r>
          </w:p>
        </w:tc>
        <w:tc>
          <w:tcPr>
            <w:tcW w:type="dxa" w:w="1234"/>
          </w:tcPr>
          <w:p>
            <w:r>
              <w:t>2025免费配额</w:t>
            </w:r>
          </w:p>
        </w:tc>
        <w:tc>
          <w:tcPr>
            <w:tcW w:type="dxa" w:w="1234"/>
          </w:tcPr>
          <w:p>
            <w:r>
              <w:t>2040免费配额</w:t>
            </w:r>
          </w:p>
        </w:tc>
        <w:tc>
          <w:tcPr>
            <w:tcW w:type="dxa" w:w="1234"/>
          </w:tcPr>
          <w:p>
            <w:r>
              <w:t>2025碳价</w:t>
            </w:r>
          </w:p>
        </w:tc>
        <w:tc>
          <w:tcPr>
            <w:tcW w:type="dxa" w:w="1234"/>
          </w:tcPr>
          <w:p>
            <w:r>
              <w:t>2040碳价</w:t>
            </w:r>
          </w:p>
        </w:tc>
      </w:tr>
      <w:tr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现有政策（基准）</w:t>
            </w:r>
          </w:p>
        </w:tc>
        <w:tc>
          <w:tcPr>
            <w:tcW w:type="dxa" w:w="1234"/>
          </w:tcPr>
          <w:p>
            <w:r>
              <w:t>TRANSITION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75%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GREENHOUSE_WORLD</w:t>
            </w:r>
          </w:p>
        </w:tc>
        <w:tc>
          <w:tcPr>
            <w:tcW w:type="dxa" w:w="1234"/>
          </w:tcPr>
          <w:p>
            <w:r>
              <w:t>温室世界</w:t>
            </w:r>
          </w:p>
        </w:tc>
        <w:tc>
          <w:tcPr>
            <w:tcW w:type="dxa" w:w="1234"/>
          </w:tcPr>
          <w:p>
            <w:r>
              <w:t>TRANSITION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85%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ORDERLY_TRANSITION</w:t>
            </w:r>
          </w:p>
        </w:tc>
        <w:tc>
          <w:tcPr>
            <w:tcW w:type="dxa" w:w="1234"/>
          </w:tcPr>
          <w:p>
            <w:r>
              <w:t>有序转型</w:t>
            </w:r>
          </w:p>
        </w:tc>
        <w:tc>
          <w:tcPr>
            <w:tcW w:type="dxa" w:w="1234"/>
          </w:tcPr>
          <w:p>
            <w:r>
              <w:t>TRANSITION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</w:tbl>
    <w:p>
      <w:pPr>
        <w:pStyle w:val="Heading3"/>
      </w:pPr>
      <w:r>
        <w:t>11.2 后续可扩展情景示例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情景名称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可能新增参数</w:t>
            </w:r>
          </w:p>
        </w:tc>
      </w:tr>
      <w:tr>
        <w:tc>
          <w:tcPr>
            <w:tcW w:type="dxa" w:w="2880"/>
          </w:tcPr>
          <w:p>
            <w:r>
              <w:t>延迟转型</w:t>
            </w:r>
          </w:p>
        </w:tc>
        <w:tc>
          <w:tcPr>
            <w:tcW w:type="dxa" w:w="2880"/>
          </w:tcPr>
          <w:p>
            <w:r>
              <w:t>TRANSITION</w:t>
            </w:r>
          </w:p>
        </w:tc>
        <w:tc>
          <w:tcPr>
            <w:tcW w:type="dxa" w:w="2880"/>
          </w:tcPr>
          <w:p>
            <w:r>
              <w:t>前期碳价低、后期快速上升</w:t>
            </w:r>
          </w:p>
        </w:tc>
      </w:tr>
      <w:tr>
        <w:tc>
          <w:tcPr>
            <w:tcW w:type="dxa" w:w="2880"/>
          </w:tcPr>
          <w:p>
            <w:r>
              <w:t>无序转型</w:t>
            </w:r>
          </w:p>
        </w:tc>
        <w:tc>
          <w:tcPr>
            <w:tcW w:type="dxa" w:w="2880"/>
          </w:tcPr>
          <w:p>
            <w:r>
              <w:t>TRANSITION</w:t>
            </w:r>
          </w:p>
        </w:tc>
        <w:tc>
          <w:tcPr>
            <w:tcW w:type="dxa" w:w="2880"/>
          </w:tcPr>
          <w:p>
            <w:r>
              <w:t>碳价跳升、免费配额突然下降</w:t>
            </w:r>
          </w:p>
        </w:tc>
      </w:tr>
      <w:tr>
        <w:tc>
          <w:tcPr>
            <w:tcW w:type="dxa" w:w="2880"/>
          </w:tcPr>
          <w:p>
            <w:r>
              <w:t>净零 2050</w:t>
            </w:r>
          </w:p>
        </w:tc>
        <w:tc>
          <w:tcPr>
            <w:tcW w:type="dxa" w:w="2880"/>
          </w:tcPr>
          <w:p>
            <w:r>
              <w:t>TRANSITION</w:t>
            </w:r>
          </w:p>
        </w:tc>
        <w:tc>
          <w:tcPr>
            <w:tcW w:type="dxa" w:w="2880"/>
          </w:tcPr>
          <w:p>
            <w:r>
              <w:t>更长测试期、更陡峭减排路径</w:t>
            </w:r>
          </w:p>
        </w:tc>
      </w:tr>
      <w:tr>
        <w:tc>
          <w:tcPr>
            <w:tcW w:type="dxa" w:w="2880"/>
          </w:tcPr>
          <w:p>
            <w:r>
              <w:t>洪涝灾害</w:t>
            </w:r>
          </w:p>
        </w:tc>
        <w:tc>
          <w:tcPr>
            <w:tcW w:type="dxa" w:w="2880"/>
          </w:tcPr>
          <w:p>
            <w:r>
              <w:t>PHYSICAL</w:t>
            </w:r>
          </w:p>
        </w:tc>
        <w:tc>
          <w:tcPr>
            <w:tcW w:type="dxa" w:w="2880"/>
          </w:tcPr>
          <w:p>
            <w:r>
              <w:t>地区、资产损失率、停工天数</w:t>
            </w:r>
          </w:p>
        </w:tc>
      </w:tr>
      <w:tr>
        <w:tc>
          <w:tcPr>
            <w:tcW w:type="dxa" w:w="2880"/>
          </w:tcPr>
          <w:p>
            <w:r>
              <w:t>高温热浪</w:t>
            </w:r>
          </w:p>
        </w:tc>
        <w:tc>
          <w:tcPr>
            <w:tcW w:type="dxa" w:w="2880"/>
          </w:tcPr>
          <w:p>
            <w:r>
              <w:t>PHYSICAL</w:t>
            </w:r>
          </w:p>
        </w:tc>
        <w:tc>
          <w:tcPr>
            <w:tcW w:type="dxa" w:w="2880"/>
          </w:tcPr>
          <w:p>
            <w:r>
              <w:t>行业产能下降、用电成本上升</w:t>
            </w:r>
          </w:p>
        </w:tc>
      </w:tr>
      <w:tr>
        <w:tc>
          <w:tcPr>
            <w:tcW w:type="dxa" w:w="2880"/>
          </w:tcPr>
          <w:p>
            <w:r>
              <w:t>综合情景</w:t>
            </w:r>
          </w:p>
        </w:tc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转型参数 + 物理损失参数</w:t>
            </w:r>
          </w:p>
        </w:tc>
      </w:tr>
    </w:tbl>
    <w:p/>
    <w:p>
      <w:pPr>
        <w:pStyle w:val="Heading2"/>
      </w:pPr>
      <w:r>
        <w:t>12. 当前转型压测计算字段链条</w:t>
      </w:r>
    </w:p>
    <w:p>
      <w:pPr>
        <w:pStyle w:val="Heading3"/>
      </w:pPr>
      <w:r>
        <w:t>12.1 输入字段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基期营业收入</w:t>
            </w:r>
          </w:p>
        </w:tc>
      </w:tr>
      <w:tr>
        <w:tc>
          <w:tcPr>
            <w:tcW w:type="dxa" w:w="2880"/>
          </w:tcPr>
          <w:p>
            <w:r>
              <w:t>revenueGrowth</w:t>
            </w:r>
          </w:p>
        </w:tc>
        <w:tc>
          <w:tcPr>
            <w:tcW w:type="dxa" w:w="2880"/>
          </w:tcPr>
          <w:p>
            <w:r>
              <w:t>场景/系统默认</w:t>
            </w:r>
          </w:p>
        </w:tc>
        <w:tc>
          <w:tcPr>
            <w:tcW w:type="dxa" w:w="2880"/>
          </w:tcPr>
          <w:p>
            <w:r>
              <w:t>当前默认年增速 2%</w:t>
            </w:r>
          </w:p>
        </w:tc>
      </w:tr>
      <w:tr>
        <w:tc>
          <w:tcPr>
            <w:tcW w:type="dxa" w:w="2880"/>
          </w:tcPr>
          <w:p>
            <w:r>
              <w:t>standardIndustry</w:t>
            </w:r>
          </w:p>
        </w:tc>
        <w:tc>
          <w:tcPr>
            <w:tcW w:type="dxa" w:w="2880"/>
          </w:tcPr>
          <w:p>
            <w:r>
              <w:t>财务+映射</w:t>
            </w:r>
          </w:p>
        </w:tc>
        <w:tc>
          <w:tcPr>
            <w:tcW w:type="dxa" w:w="2880"/>
          </w:tcPr>
          <w:p>
            <w:r>
              <w:t>行业大类</w:t>
            </w:r>
          </w:p>
        </w:tc>
      </w:tr>
      <w:tr>
        <w:tc>
          <w:tcPr>
            <w:tcW w:type="dxa" w:w="2880"/>
          </w:tcPr>
          <w:p>
            <w:r>
              <w:t>gbIndustryCode</w:t>
            </w:r>
          </w:p>
        </w:tc>
        <w:tc>
          <w:tcPr>
            <w:tcW w:type="dxa" w:w="2880"/>
          </w:tcPr>
          <w:p>
            <w:r>
              <w:t>财务+映射</w:t>
            </w:r>
          </w:p>
        </w:tc>
        <w:tc>
          <w:tcPr>
            <w:tcW w:type="dxa" w:w="2880"/>
          </w:tcPr>
          <w:p>
            <w:r>
              <w:t>匹配因子</w:t>
            </w:r>
          </w:p>
        </w:tc>
      </w:tr>
      <w:tr>
        <w:tc>
          <w:tcPr>
            <w:tcW w:type="dxa" w:w="2880"/>
          </w:tcPr>
          <w:p>
            <w:r>
              <w:t>emissionFactorCode</w:t>
            </w:r>
          </w:p>
        </w:tc>
        <w:tc>
          <w:tcPr>
            <w:tcW w:type="dxa" w:w="2880"/>
          </w:tcPr>
          <w:p>
            <w:r>
              <w:t>因子库</w:t>
            </w:r>
          </w:p>
        </w:tc>
        <w:tc>
          <w:tcPr>
            <w:tcW w:type="dxa" w:w="2880"/>
          </w:tcPr>
          <w:p>
            <w:r>
              <w:t>优先匹配因子</w:t>
            </w:r>
          </w:p>
        </w:tc>
      </w:tr>
      <w:tr>
        <w:tc>
          <w:tcPr>
            <w:tcW w:type="dxa" w:w="2880"/>
          </w:tcPr>
          <w:p>
            <w:r>
              <w:t>costIncomeRatio</w:t>
            </w:r>
          </w:p>
        </w:tc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成本收入比</w:t>
            </w:r>
          </w:p>
        </w:tc>
      </w:tr>
      <w:tr>
        <w:tc>
          <w:tcPr>
            <w:tcW w:type="dxa" w:w="2880"/>
          </w:tcPr>
          <w:p>
            <w:r>
              <w:t>baseCarbonEmission</w:t>
            </w:r>
          </w:p>
        </w:tc>
        <w:tc>
          <w:tcPr>
            <w:tcW w:type="dxa" w:w="2880"/>
          </w:tcPr>
          <w:p>
            <w:r>
              <w:t>财务/碳数据</w:t>
            </w:r>
          </w:p>
        </w:tc>
        <w:tc>
          <w:tcPr>
            <w:tcW w:type="dxa" w:w="2880"/>
          </w:tcPr>
          <w:p>
            <w:r>
              <w:t>有则算企业专属因子</w:t>
            </w:r>
          </w:p>
        </w:tc>
      </w:tr>
      <w:tr>
        <w:tc>
          <w:tcPr>
            <w:tcW w:type="dxa" w:w="2880"/>
          </w:tcPr>
          <w:p>
            <w:r>
              <w:t>basePeriodRevenue</w:t>
            </w:r>
          </w:p>
        </w:tc>
        <w:tc>
          <w:tcPr>
            <w:tcW w:type="dxa" w:w="2880"/>
          </w:tcPr>
          <w:p>
            <w:r>
              <w:t>财务/碳数据</w:t>
            </w:r>
          </w:p>
        </w:tc>
        <w:tc>
          <w:tcPr>
            <w:tcW w:type="dxa" w:w="2880"/>
          </w:tcPr>
          <w:p>
            <w:r>
              <w:t>与基期排放配套</w:t>
            </w:r>
          </w:p>
        </w:tc>
      </w:tr>
      <w:tr>
        <w:tc>
          <w:tcPr>
            <w:tcW w:type="dxa" w:w="2880"/>
          </w:tcPr>
          <w:p>
            <w:r>
              <w:t>passengerThroughput</w:t>
            </w:r>
          </w:p>
        </w:tc>
        <w:tc>
          <w:tcPr>
            <w:tcW w:type="dxa" w:w="2880"/>
          </w:tcPr>
          <w:p>
            <w:r>
              <w:t>业务数据</w:t>
            </w:r>
          </w:p>
        </w:tc>
        <w:tc>
          <w:tcPr>
            <w:tcW w:type="dxa" w:w="2880"/>
          </w:tcPr>
          <w:p>
            <w:r>
              <w:t>机场类使用</w:t>
            </w:r>
          </w:p>
        </w:tc>
      </w:tr>
      <w:tr>
        <w:tc>
          <w:tcPr>
            <w:tcW w:type="dxa" w:w="2880"/>
          </w:tcPr>
          <w:p>
            <w:r>
              <w:t>freeQuotaRatio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按测试年插值</w:t>
            </w:r>
          </w:p>
        </w:tc>
      </w:tr>
      <w:tr>
        <w:tc>
          <w:tcPr>
            <w:tcW w:type="dxa" w:w="2880"/>
          </w:tcPr>
          <w:p>
            <w:r>
              <w:t>carbonPrice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按测试年插值</w:t>
            </w:r>
          </w:p>
        </w:tc>
      </w:tr>
      <w:tr>
        <w:tc>
          <w:tcPr>
            <w:tcW w:type="dxa" w:w="2880"/>
          </w:tcPr>
          <w:p>
            <w:r>
              <w:t>eclAmount</w:t>
            </w:r>
          </w:p>
        </w:tc>
        <w:tc>
          <w:tcPr>
            <w:tcW w:type="dxa" w:w="2880"/>
          </w:tcPr>
          <w:p>
            <w:r>
              <w:t>ECL</w:t>
            </w:r>
          </w:p>
        </w:tc>
        <w:tc>
          <w:tcPr>
            <w:tcW w:type="dxa" w:w="2880"/>
          </w:tcPr>
          <w:p>
            <w:r>
              <w:t>压测前 ECL</w:t>
            </w:r>
          </w:p>
        </w:tc>
      </w:tr>
      <w:tr>
        <w:tc>
          <w:tcPr>
            <w:tcW w:type="dxa" w:w="2880"/>
          </w:tcPr>
          <w:p>
            <w:r>
              <w:t>assetLiabilityRatio</w:t>
            </w:r>
          </w:p>
        </w:tc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违约判断</w:t>
            </w:r>
          </w:p>
        </w:tc>
      </w:tr>
      <w:tr>
        <w:tc>
          <w:tcPr>
            <w:tcW w:type="dxa" w:w="2880"/>
          </w:tcPr>
          <w:p>
            <w:r>
              <w:t>totalAssets</w:t>
            </w:r>
          </w:p>
        </w:tc>
        <w:tc>
          <w:tcPr>
            <w:tcW w:type="dxa" w:w="2880"/>
          </w:tcPr>
          <w:p>
            <w:r>
              <w:t>财务</w:t>
            </w:r>
          </w:p>
        </w:tc>
        <w:tc>
          <w:tcPr>
            <w:tcW w:type="dxa" w:w="2880"/>
          </w:tcPr>
          <w:p>
            <w:r>
              <w:t>违约判断</w:t>
            </w:r>
          </w:p>
        </w:tc>
      </w:tr>
    </w:tbl>
    <w:p>
      <w:pPr>
        <w:pStyle w:val="Heading3"/>
      </w:pPr>
      <w:r>
        <w:t>12.2 中间计算字段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revenueProjected</w:t>
            </w:r>
          </w:p>
        </w:tc>
        <w:tc>
          <w:tcPr>
            <w:tcW w:type="dxa" w:w="4320"/>
          </w:tcPr>
          <w:p>
            <w:r>
              <w:t>测试年收入</w:t>
            </w:r>
          </w:p>
        </w:tc>
      </w:tr>
      <w:tr>
        <w:tc>
          <w:tcPr>
            <w:tcW w:type="dxa" w:w="4320"/>
          </w:tcPr>
          <w:p>
            <w:r>
              <w:t>emissionFactorUsed</w:t>
            </w:r>
          </w:p>
        </w:tc>
        <w:tc>
          <w:tcPr>
            <w:tcW w:type="dxa" w:w="4320"/>
          </w:tcPr>
          <w:p>
            <w:r>
              <w:t>使用的排放因子</w:t>
            </w:r>
          </w:p>
        </w:tc>
      </w:tr>
      <w:tr>
        <w:tc>
          <w:tcPr>
            <w:tcW w:type="dxa" w:w="4320"/>
          </w:tcPr>
          <w:p>
            <w:r>
              <w:t>carbonEmission</w:t>
            </w:r>
          </w:p>
        </w:tc>
        <w:tc>
          <w:tcPr>
            <w:tcW w:type="dxa" w:w="4320"/>
          </w:tcPr>
          <w:p>
            <w:r>
              <w:t>碳排放量</w:t>
            </w:r>
          </w:p>
        </w:tc>
      </w:tr>
      <w:tr>
        <w:tc>
          <w:tcPr>
            <w:tcW w:type="dxa" w:w="4320"/>
          </w:tcPr>
          <w:p>
            <w:r>
              <w:t>payableRatio</w:t>
            </w:r>
          </w:p>
        </w:tc>
        <w:tc>
          <w:tcPr>
            <w:tcW w:type="dxa" w:w="4320"/>
          </w:tcPr>
          <w:p>
            <w:r>
              <w:t>应付配额比例 = 1 - 免费配额</w:t>
            </w:r>
          </w:p>
        </w:tc>
      </w:tr>
      <w:tr>
        <w:tc>
          <w:tcPr>
            <w:tcW w:type="dxa" w:w="4320"/>
          </w:tcPr>
          <w:p>
            <w:r>
              <w:t>effectiveCarbonPrice</w:t>
            </w:r>
          </w:p>
        </w:tc>
        <w:tc>
          <w:tcPr>
            <w:tcW w:type="dxa" w:w="4320"/>
          </w:tcPr>
          <w:p>
            <w:r>
              <w:t>考虑CCUS上限后的有效碳价</w:t>
            </w:r>
          </w:p>
        </w:tc>
      </w:tr>
      <w:tr>
        <w:tc>
          <w:tcPr>
            <w:tcW w:type="dxa" w:w="4320"/>
          </w:tcPr>
          <w:p>
            <w:r>
              <w:t>carbonCost</w:t>
            </w:r>
          </w:p>
        </w:tc>
        <w:tc>
          <w:tcPr>
            <w:tcW w:type="dxa" w:w="4320"/>
          </w:tcPr>
          <w:p>
            <w:r>
              <w:t>碳排放费用</w:t>
            </w:r>
          </w:p>
        </w:tc>
      </w:tr>
      <w:tr>
        <w:tc>
          <w:tcPr>
            <w:tcW w:type="dxa" w:w="4320"/>
          </w:tcPr>
          <w:p>
            <w:r>
              <w:t>operatingExpense</w:t>
            </w:r>
          </w:p>
        </w:tc>
        <w:tc>
          <w:tcPr>
            <w:tcW w:type="dxa" w:w="4320"/>
          </w:tcPr>
          <w:p>
            <w:r>
              <w:t>营业支出</w:t>
            </w:r>
          </w:p>
        </w:tc>
      </w:tr>
      <w:tr>
        <w:tc>
          <w:tcPr>
            <w:tcW w:type="dxa" w:w="4320"/>
          </w:tcPr>
          <w:p>
            <w:r>
              <w:t>profitBeforeTax</w:t>
            </w:r>
          </w:p>
        </w:tc>
        <w:tc>
          <w:tcPr>
            <w:tcW w:type="dxa" w:w="4320"/>
          </w:tcPr>
          <w:p>
            <w:r>
              <w:t>利润总额</w:t>
            </w:r>
          </w:p>
        </w:tc>
      </w:tr>
      <w:tr>
        <w:tc>
          <w:tcPr>
            <w:tcW w:type="dxa" w:w="4320"/>
          </w:tcPr>
          <w:p>
            <w:r>
              <w:t>netProfitAfter</w:t>
            </w:r>
          </w:p>
        </w:tc>
        <w:tc>
          <w:tcPr>
            <w:tcW w:type="dxa" w:w="4320"/>
          </w:tcPr>
          <w:p>
            <w:r>
              <w:t>税后净利润</w:t>
            </w:r>
          </w:p>
        </w:tc>
      </w:tr>
      <w:tr>
        <w:tc>
          <w:tcPr>
            <w:tcW w:type="dxa" w:w="4320"/>
          </w:tcPr>
          <w:p>
            <w:r>
              <w:t>alrAfter</w:t>
            </w:r>
          </w:p>
        </w:tc>
        <w:tc>
          <w:tcPr>
            <w:tcW w:type="dxa" w:w="4320"/>
          </w:tcPr>
          <w:p>
            <w:r>
              <w:t>压测后资产负债率（生产系统建议输出）</w:t>
            </w:r>
          </w:p>
        </w:tc>
      </w:tr>
      <w:tr>
        <w:tc>
          <w:tcPr>
            <w:tcW w:type="dxa" w:w="4320"/>
          </w:tcPr>
          <w:p>
            <w:r>
              <w:t>impactRate</w:t>
            </w:r>
          </w:p>
        </w:tc>
        <w:tc>
          <w:tcPr>
            <w:tcW w:type="dxa" w:w="4320"/>
          </w:tcPr>
          <w:p>
            <w:r>
              <w:t>影响率</w:t>
            </w:r>
          </w:p>
        </w:tc>
      </w:tr>
    </w:tbl>
    <w:p>
      <w:pPr>
        <w:pStyle w:val="Heading3"/>
      </w:pPr>
      <w:r>
        <w:t>12.3 输出字段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当前结果页展示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companyName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公司</w:t>
            </w:r>
          </w:p>
        </w:tc>
      </w:tr>
      <w:tr>
        <w:tc>
          <w:tcPr>
            <w:tcW w:type="dxa" w:w="2880"/>
          </w:tcPr>
          <w:p>
            <w:r>
              <w:t>branchName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分行</w:t>
            </w:r>
          </w:p>
        </w:tc>
      </w:tr>
      <w:tr>
        <w:tc>
          <w:tcPr>
            <w:tcW w:type="dxa" w:w="2880"/>
          </w:tcPr>
          <w:p>
            <w:r>
              <w:t>standardIndustry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行业</w:t>
            </w:r>
          </w:p>
        </w:tc>
      </w:tr>
      <w:tr>
        <w:tc>
          <w:tcPr>
            <w:tcW w:type="dxa" w:w="2880"/>
          </w:tcPr>
          <w:p>
            <w:r>
              <w:t>scenarioCode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情景编码，建议导出</w:t>
            </w:r>
          </w:p>
        </w:tc>
      </w:tr>
      <w:tr>
        <w:tc>
          <w:tcPr>
            <w:tcW w:type="dxa" w:w="2880"/>
          </w:tcPr>
          <w:p>
            <w:r>
              <w:t>scenarioName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情景名称</w:t>
            </w:r>
          </w:p>
        </w:tc>
      </w:tr>
      <w:tr>
        <w:tc>
          <w:tcPr>
            <w:tcW w:type="dxa" w:w="2880"/>
          </w:tcPr>
          <w:p>
            <w:r>
              <w:t>testYear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测试年，建议导出</w:t>
            </w:r>
          </w:p>
        </w:tc>
      </w:tr>
      <w:tr>
        <w:tc>
          <w:tcPr>
            <w:tcW w:type="dxa" w:w="2880"/>
          </w:tcPr>
          <w:p>
            <w:r>
              <w:t>revenueBefore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收入前</w:t>
            </w:r>
          </w:p>
        </w:tc>
      </w:tr>
      <w:tr>
        <w:tc>
          <w:tcPr>
            <w:tcW w:type="dxa" w:w="2880"/>
          </w:tcPr>
          <w:p>
            <w:r>
              <w:t>revenueAfter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收入后</w:t>
            </w:r>
          </w:p>
        </w:tc>
      </w:tr>
      <w:tr>
        <w:tc>
          <w:tcPr>
            <w:tcW w:type="dxa" w:w="2880"/>
          </w:tcPr>
          <w:p>
            <w:r>
              <w:t>carbonEmission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碳排放量</w:t>
            </w:r>
          </w:p>
        </w:tc>
      </w:tr>
      <w:tr>
        <w:tc>
          <w:tcPr>
            <w:tcW w:type="dxa" w:w="2880"/>
          </w:tcPr>
          <w:p>
            <w:r>
              <w:t>carbonCost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碳排放费用</w:t>
            </w:r>
          </w:p>
        </w:tc>
      </w:tr>
      <w:tr>
        <w:tc>
          <w:tcPr>
            <w:tcW w:type="dxa" w:w="2880"/>
          </w:tcPr>
          <w:p>
            <w:r>
              <w:t>freeQuotaRatio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免费配额，建议导出</w:t>
            </w:r>
          </w:p>
        </w:tc>
      </w:tr>
      <w:tr>
        <w:tc>
          <w:tcPr>
            <w:tcW w:type="dxa" w:w="2880"/>
          </w:tcPr>
          <w:p>
            <w:r>
              <w:t>carbonPrice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碳价，建议导出</w:t>
            </w:r>
          </w:p>
        </w:tc>
      </w:tr>
      <w:tr>
        <w:tc>
          <w:tcPr>
            <w:tcW w:type="dxa" w:w="2880"/>
          </w:tcPr>
          <w:p>
            <w:r>
              <w:t>eclBefore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ECL前</w:t>
            </w:r>
          </w:p>
        </w:tc>
      </w:tr>
      <w:tr>
        <w:tc>
          <w:tcPr>
            <w:tcW w:type="dxa" w:w="2880"/>
          </w:tcPr>
          <w:p>
            <w:r>
              <w:t>eclAfter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ECL后</w:t>
            </w:r>
          </w:p>
        </w:tc>
      </w:tr>
      <w:tr>
        <w:tc>
          <w:tcPr>
            <w:tcW w:type="dxa" w:w="2880"/>
          </w:tcPr>
          <w:p>
            <w:r>
              <w:t>eclDelta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ECL增量 = 后 - 前，建议新增</w:t>
            </w:r>
          </w:p>
        </w:tc>
      </w:tr>
      <w:tr>
        <w:tc>
          <w:tcPr>
            <w:tcW w:type="dxa" w:w="2880"/>
          </w:tcPr>
          <w:p>
            <w:r>
              <w:t>impactRate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影响率</w:t>
            </w:r>
          </w:p>
        </w:tc>
      </w:tr>
      <w:tr>
        <w:tc>
          <w:tcPr>
            <w:tcW w:type="dxa" w:w="2880"/>
          </w:tcPr>
          <w:p>
            <w:r>
              <w:t>netProfitAfter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压测后净利润，建议导出</w:t>
            </w:r>
          </w:p>
        </w:tc>
      </w:tr>
      <w:tr>
        <w:tc>
          <w:tcPr>
            <w:tcW w:type="dxa" w:w="2880"/>
          </w:tcPr>
          <w:p>
            <w:r>
              <w:t>defaultFlag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是否违约</w:t>
            </w:r>
          </w:p>
        </w:tc>
      </w:tr>
      <w:tr>
        <w:tc>
          <w:tcPr>
            <w:tcW w:type="dxa" w:w="2880"/>
          </w:tcPr>
          <w:p>
            <w:r>
              <w:t>emissionFactorUsed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使用因子编码，建议导出</w:t>
            </w:r>
          </w:p>
        </w:tc>
      </w:tr>
      <w:tr>
        <w:tc>
          <w:tcPr>
            <w:tcW w:type="dxa" w:w="2880"/>
          </w:tcPr>
          <w:p>
            <w:r>
              <w:t>dataSource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接口原始/行业均值补算，建议导出</w:t>
            </w:r>
          </w:p>
        </w:tc>
      </w:tr>
    </w:tbl>
    <w:p/>
    <w:p>
      <w:pPr>
        <w:pStyle w:val="Heading2"/>
      </w:pPr>
      <w:r>
        <w:t>13. 物理风险字段（当前原型未实现，但建议预留）</w:t>
      </w:r>
    </w:p>
    <w:p>
      <w:r>
        <w:t>如果未来加入洪涝、台风、高温等物理风险，需要增加：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companyAddress</w:t>
            </w:r>
          </w:p>
        </w:tc>
        <w:tc>
          <w:tcPr>
            <w:tcW w:type="dxa" w:w="2880"/>
          </w:tcPr>
          <w:p>
            <w:r>
              <w:t>客户地址</w:t>
            </w:r>
          </w:p>
        </w:tc>
        <w:tc>
          <w:tcPr>
            <w:tcW w:type="dxa" w:w="2880"/>
          </w:tcPr>
          <w:p>
            <w:r>
              <w:t>定位风险区域</w:t>
            </w:r>
          </w:p>
        </w:tc>
      </w:tr>
      <w:tr>
        <w:tc>
          <w:tcPr>
            <w:tcW w:type="dxa" w:w="2880"/>
          </w:tcPr>
          <w:p>
            <w:r>
              <w:t>province / city / district</w:t>
            </w:r>
          </w:p>
        </w:tc>
        <w:tc>
          <w:tcPr>
            <w:tcW w:type="dxa" w:w="2880"/>
          </w:tcPr>
          <w:p>
            <w:r>
              <w:t>客户地址</w:t>
            </w:r>
          </w:p>
        </w:tc>
        <w:tc>
          <w:tcPr>
            <w:tcW w:type="dxa" w:w="2880"/>
          </w:tcPr>
          <w:p>
            <w:r>
              <w:t>地区汇总</w:t>
            </w:r>
          </w:p>
        </w:tc>
      </w:tr>
      <w:tr>
        <w:tc>
          <w:tcPr>
            <w:tcW w:type="dxa" w:w="2880"/>
          </w:tcPr>
          <w:p>
            <w:r>
              <w:t>longitude / latitude</w:t>
            </w:r>
          </w:p>
        </w:tc>
        <w:tc>
          <w:tcPr>
            <w:tcW w:type="dxa" w:w="2880"/>
          </w:tcPr>
          <w:p>
            <w:r>
              <w:t>地理编码</w:t>
            </w:r>
          </w:p>
        </w:tc>
        <w:tc>
          <w:tcPr>
            <w:tcW w:type="dxa" w:w="2880"/>
          </w:tcPr>
          <w:p>
            <w:r>
              <w:t>灾害暴露匹配</w:t>
            </w:r>
          </w:p>
        </w:tc>
      </w:tr>
      <w:tr>
        <w:tc>
          <w:tcPr>
            <w:tcW w:type="dxa" w:w="2880"/>
          </w:tcPr>
          <w:p>
            <w:r>
              <w:t>collateralAddress</w:t>
            </w:r>
          </w:p>
        </w:tc>
        <w:tc>
          <w:tcPr>
            <w:tcW w:type="dxa" w:w="2880"/>
          </w:tcPr>
          <w:p>
            <w:r>
              <w:t>押品地址</w:t>
            </w:r>
          </w:p>
        </w:tc>
        <w:tc>
          <w:tcPr>
            <w:tcW w:type="dxa" w:w="2880"/>
          </w:tcPr>
          <w:p>
            <w:r>
              <w:t>押品物理风险</w:t>
            </w:r>
          </w:p>
        </w:tc>
      </w:tr>
      <w:tr>
        <w:tc>
          <w:tcPr>
            <w:tcW w:type="dxa" w:w="2880"/>
          </w:tcPr>
          <w:p>
            <w:r>
              <w:t>collateralType</w:t>
            </w:r>
          </w:p>
        </w:tc>
        <w:tc>
          <w:tcPr>
            <w:tcW w:type="dxa" w:w="2880"/>
          </w:tcPr>
          <w:p>
            <w:r>
              <w:t>押品类型</w:t>
            </w:r>
          </w:p>
        </w:tc>
        <w:tc>
          <w:tcPr>
            <w:tcW w:type="dxa" w:w="2880"/>
          </w:tcPr>
          <w:p>
            <w:r>
              <w:t>房产、厂房、机器设备等</w:t>
            </w:r>
          </w:p>
        </w:tc>
      </w:tr>
      <w:tr>
        <w:tc>
          <w:tcPr>
            <w:tcW w:type="dxa" w:w="2880"/>
          </w:tcPr>
          <w:p>
            <w:r>
              <w:t>collateralValue</w:t>
            </w:r>
          </w:p>
        </w:tc>
        <w:tc>
          <w:tcPr>
            <w:tcW w:type="dxa" w:w="2880"/>
          </w:tcPr>
          <w:p>
            <w:r>
              <w:t>押品价值</w:t>
            </w:r>
          </w:p>
        </w:tc>
        <w:tc>
          <w:tcPr>
            <w:tcW w:type="dxa" w:w="2880"/>
          </w:tcPr>
          <w:p>
            <w:r>
              <w:t>损失估计</w:t>
            </w:r>
          </w:p>
        </w:tc>
      </w:tr>
      <w:tr>
        <w:tc>
          <w:tcPr>
            <w:tcW w:type="dxa" w:w="2880"/>
          </w:tcPr>
          <w:p>
            <w:r>
              <w:t>hazardType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洪涝、台风、热浪、干旱</w:t>
            </w:r>
          </w:p>
        </w:tc>
      </w:tr>
      <w:tr>
        <w:tc>
          <w:tcPr>
            <w:tcW w:type="dxa" w:w="2880"/>
          </w:tcPr>
          <w:p>
            <w:r>
              <w:t>hazardIntensity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灾害强度</w:t>
            </w:r>
          </w:p>
        </w:tc>
      </w:tr>
      <w:tr>
        <w:tc>
          <w:tcPr>
            <w:tcW w:type="dxa" w:w="2880"/>
          </w:tcPr>
          <w:p>
            <w:r>
              <w:t>damageRate</w:t>
            </w:r>
          </w:p>
        </w:tc>
        <w:tc>
          <w:tcPr>
            <w:tcW w:type="dxa" w:w="2880"/>
          </w:tcPr>
          <w:p>
            <w:r>
              <w:t>场景/模型</w:t>
            </w:r>
          </w:p>
        </w:tc>
        <w:tc>
          <w:tcPr>
            <w:tcW w:type="dxa" w:w="2880"/>
          </w:tcPr>
          <w:p>
            <w:r>
              <w:t>资产损失率</w:t>
            </w:r>
          </w:p>
        </w:tc>
      </w:tr>
      <w:tr>
        <w:tc>
          <w:tcPr>
            <w:tcW w:type="dxa" w:w="2880"/>
          </w:tcPr>
          <w:p>
            <w:r>
              <w:t>businessInterruptionDays</w:t>
            </w:r>
          </w:p>
        </w:tc>
        <w:tc>
          <w:tcPr>
            <w:tcW w:type="dxa" w:w="2880"/>
          </w:tcPr>
          <w:p>
            <w:r>
              <w:t>场景/模型</w:t>
            </w:r>
          </w:p>
        </w:tc>
        <w:tc>
          <w:tcPr>
            <w:tcW w:type="dxa" w:w="2880"/>
          </w:tcPr>
          <w:p>
            <w:r>
              <w:t>停工天数</w:t>
            </w:r>
          </w:p>
        </w:tc>
      </w:tr>
      <w:tr>
        <w:tc>
          <w:tcPr>
            <w:tcW w:type="dxa" w:w="2880"/>
          </w:tcPr>
          <w:p>
            <w:r>
              <w:t>revenueLossRate</w:t>
            </w:r>
          </w:p>
        </w:tc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收入损失比例</w:t>
            </w:r>
          </w:p>
        </w:tc>
      </w:tr>
      <w:tr>
        <w:tc>
          <w:tcPr>
            <w:tcW w:type="dxa" w:w="2880"/>
          </w:tcPr>
          <w:p>
            <w:r>
              <w:t>collateralHaircut</w:t>
            </w:r>
          </w:p>
        </w:tc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押品折价比例</w:t>
            </w:r>
          </w:p>
        </w:tc>
      </w:tr>
    </w:tbl>
    <w:p>
      <w:r>
        <w:t>物理风险结果可新增：资产损失、收入损失、押品价值下降、LGD上升、ECL增加。</w:t>
      </w:r>
    </w:p>
    <w:p/>
    <w:p>
      <w:pPr>
        <w:pStyle w:val="Heading2"/>
      </w:pPr>
      <w:r>
        <w:t>14. 综合风险字段（转型 + 物理）</w:t>
      </w:r>
    </w:p>
    <w:p>
      <w:r>
        <w:t>综合情景建议输出：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transitionCarbonCost</w:t>
            </w:r>
          </w:p>
        </w:tc>
        <w:tc>
          <w:tcPr>
            <w:tcW w:type="dxa" w:w="4320"/>
          </w:tcPr>
          <w:p>
            <w:r>
              <w:t>转型风险碳费</w:t>
            </w:r>
          </w:p>
        </w:tc>
      </w:tr>
      <w:tr>
        <w:tc>
          <w:tcPr>
            <w:tcW w:type="dxa" w:w="4320"/>
          </w:tcPr>
          <w:p>
            <w:r>
              <w:t>physicalAssetLoss</w:t>
            </w:r>
          </w:p>
        </w:tc>
        <w:tc>
          <w:tcPr>
            <w:tcW w:type="dxa" w:w="4320"/>
          </w:tcPr>
          <w:p>
            <w:r>
              <w:t>物理风险资产损失</w:t>
            </w:r>
          </w:p>
        </w:tc>
      </w:tr>
      <w:tr>
        <w:tc>
          <w:tcPr>
            <w:tcW w:type="dxa" w:w="4320"/>
          </w:tcPr>
          <w:p>
            <w:r>
              <w:t>physicalRevenueLoss</w:t>
            </w:r>
          </w:p>
        </w:tc>
        <w:tc>
          <w:tcPr>
            <w:tcW w:type="dxa" w:w="4320"/>
          </w:tcPr>
          <w:p>
            <w:r>
              <w:t>物理风险收入损失</w:t>
            </w:r>
          </w:p>
        </w:tc>
      </w:tr>
      <w:tr>
        <w:tc>
          <w:tcPr>
            <w:tcW w:type="dxa" w:w="4320"/>
          </w:tcPr>
          <w:p>
            <w:r>
              <w:t>combinedRevenueAfter</w:t>
            </w:r>
          </w:p>
        </w:tc>
        <w:tc>
          <w:tcPr>
            <w:tcW w:type="dxa" w:w="4320"/>
          </w:tcPr>
          <w:p>
            <w:r>
              <w:t>综合冲击后收入</w:t>
            </w:r>
          </w:p>
        </w:tc>
      </w:tr>
      <w:tr>
        <w:tc>
          <w:tcPr>
            <w:tcW w:type="dxa" w:w="4320"/>
          </w:tcPr>
          <w:p>
            <w:r>
              <w:t>combinedEclAfter</w:t>
            </w:r>
          </w:p>
        </w:tc>
        <w:tc>
          <w:tcPr>
            <w:tcW w:type="dxa" w:w="4320"/>
          </w:tcPr>
          <w:p>
            <w:r>
              <w:t>综合冲击后ECL</w:t>
            </w:r>
          </w:p>
        </w:tc>
      </w:tr>
      <w:tr>
        <w:tc>
          <w:tcPr>
            <w:tcW w:type="dxa" w:w="4320"/>
          </w:tcPr>
          <w:p>
            <w:r>
              <w:t>dominantRiskType</w:t>
            </w:r>
          </w:p>
        </w:tc>
        <w:tc>
          <w:tcPr>
            <w:tcW w:type="dxa" w:w="4320"/>
          </w:tcPr>
          <w:p>
            <w:r>
              <w:t>主导风险类型：转型/物理/共同</w:t>
            </w:r>
          </w:p>
        </w:tc>
      </w:tr>
    </w:tbl>
    <w:p/>
    <w:p>
      <w:pPr>
        <w:pStyle w:val="Heading2"/>
      </w:pPr>
      <w:r>
        <w:t>15. 汇总分析字段</w:t>
      </w:r>
    </w:p>
    <w:p>
      <w:r>
        <w:t>结果分析页目前按行业/分行汇总。建议字段：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dimensionType</w:t>
            </w:r>
          </w:p>
        </w:tc>
        <w:tc>
          <w:tcPr>
            <w:tcW w:type="dxa" w:w="4320"/>
          </w:tcPr>
          <w:p>
            <w:r>
              <w:t>维度：行业/分行/情景/评级</w:t>
            </w:r>
          </w:p>
        </w:tc>
      </w:tr>
      <w:tr>
        <w:tc>
          <w:tcPr>
            <w:tcW w:type="dxa" w:w="4320"/>
          </w:tcPr>
          <w:p>
            <w:r>
              <w:t>dimensionName</w:t>
            </w:r>
          </w:p>
        </w:tc>
        <w:tc>
          <w:tcPr>
            <w:tcW w:type="dxa" w:w="4320"/>
          </w:tcPr>
          <w:p>
            <w:r>
              <w:t>维度名称</w:t>
            </w:r>
          </w:p>
        </w:tc>
      </w:tr>
      <w:tr>
        <w:tc>
          <w:tcPr>
            <w:tcW w:type="dxa" w:w="4320"/>
          </w:tcPr>
          <w:p>
            <w:r>
              <w:t>companyCount</w:t>
            </w:r>
          </w:p>
        </w:tc>
        <w:tc>
          <w:tcPr>
            <w:tcW w:type="dxa" w:w="4320"/>
          </w:tcPr>
          <w:p>
            <w:r>
              <w:t>公司数</w:t>
            </w:r>
          </w:p>
        </w:tc>
      </w:tr>
      <w:tr>
        <w:tc>
          <w:tcPr>
            <w:tcW w:type="dxa" w:w="4320"/>
          </w:tcPr>
          <w:p>
            <w:r>
              <w:t>exposureTotal</w:t>
            </w:r>
          </w:p>
        </w:tc>
        <w:tc>
          <w:tcPr>
            <w:tcW w:type="dxa" w:w="4320"/>
          </w:tcPr>
          <w:p>
            <w:r>
              <w:t>贷款余额合计</w:t>
            </w:r>
          </w:p>
        </w:tc>
      </w:tr>
      <w:tr>
        <w:tc>
          <w:tcPr>
            <w:tcW w:type="dxa" w:w="4320"/>
          </w:tcPr>
          <w:p>
            <w:r>
              <w:t>eclBeforeTotal</w:t>
            </w:r>
          </w:p>
        </w:tc>
        <w:tc>
          <w:tcPr>
            <w:tcW w:type="dxa" w:w="4320"/>
          </w:tcPr>
          <w:p>
            <w:r>
              <w:t>ECL前合计</w:t>
            </w:r>
          </w:p>
        </w:tc>
      </w:tr>
      <w:tr>
        <w:tc>
          <w:tcPr>
            <w:tcW w:type="dxa" w:w="4320"/>
          </w:tcPr>
          <w:p>
            <w:r>
              <w:t>eclAfterTotal</w:t>
            </w:r>
          </w:p>
        </w:tc>
        <w:tc>
          <w:tcPr>
            <w:tcW w:type="dxa" w:w="4320"/>
          </w:tcPr>
          <w:p>
            <w:r>
              <w:t>ECL后合计</w:t>
            </w:r>
          </w:p>
        </w:tc>
      </w:tr>
      <w:tr>
        <w:tc>
          <w:tcPr>
            <w:tcW w:type="dxa" w:w="4320"/>
          </w:tcPr>
          <w:p>
            <w:r>
              <w:t>eclDeltaTotal</w:t>
            </w:r>
          </w:p>
        </w:tc>
        <w:tc>
          <w:tcPr>
            <w:tcW w:type="dxa" w:w="4320"/>
          </w:tcPr>
          <w:p>
            <w:r>
              <w:t>ECL增量合计</w:t>
            </w:r>
          </w:p>
        </w:tc>
      </w:tr>
      <w:tr>
        <w:tc>
          <w:tcPr>
            <w:tcW w:type="dxa" w:w="4320"/>
          </w:tcPr>
          <w:p>
            <w:r>
              <w:t>avgImpactRate</w:t>
            </w:r>
          </w:p>
        </w:tc>
        <w:tc>
          <w:tcPr>
            <w:tcW w:type="dxa" w:w="4320"/>
          </w:tcPr>
          <w:p>
            <w:r>
              <w:t>平均影响率</w:t>
            </w:r>
          </w:p>
        </w:tc>
      </w:tr>
      <w:tr>
        <w:tc>
          <w:tcPr>
            <w:tcW w:type="dxa" w:w="4320"/>
          </w:tcPr>
          <w:p>
            <w:r>
              <w:t>maxImpactRate</w:t>
            </w:r>
          </w:p>
        </w:tc>
        <w:tc>
          <w:tcPr>
            <w:tcW w:type="dxa" w:w="4320"/>
          </w:tcPr>
          <w:p>
            <w:r>
              <w:t>最大影响率</w:t>
            </w:r>
          </w:p>
        </w:tc>
      </w:tr>
      <w:tr>
        <w:tc>
          <w:tcPr>
            <w:tcW w:type="dxa" w:w="4320"/>
          </w:tcPr>
          <w:p>
            <w:r>
              <w:t>defaultCount</w:t>
            </w:r>
          </w:p>
        </w:tc>
        <w:tc>
          <w:tcPr>
            <w:tcW w:type="dxa" w:w="4320"/>
          </w:tcPr>
          <w:p>
            <w:r>
              <w:t>违约户数</w:t>
            </w:r>
          </w:p>
        </w:tc>
      </w:tr>
      <w:tr>
        <w:tc>
          <w:tcPr>
            <w:tcW w:type="dxa" w:w="4320"/>
          </w:tcPr>
          <w:p>
            <w:r>
              <w:t>defaultExposure</w:t>
            </w:r>
          </w:p>
        </w:tc>
        <w:tc>
          <w:tcPr>
            <w:tcW w:type="dxa" w:w="4320"/>
          </w:tcPr>
          <w:p>
            <w:r>
              <w:t>违约敞口</w:t>
            </w:r>
          </w:p>
        </w:tc>
      </w:tr>
      <w:tr>
        <w:tc>
          <w:tcPr>
            <w:tcW w:type="dxa" w:w="4320"/>
          </w:tcPr>
          <w:p>
            <w:r>
              <w:t>highRiskCompanyCount</w:t>
            </w:r>
          </w:p>
        </w:tc>
        <w:tc>
          <w:tcPr>
            <w:tcW w:type="dxa" w:w="4320"/>
          </w:tcPr>
          <w:p>
            <w:r>
              <w:t>高风险客户数</w:t>
            </w:r>
          </w:p>
        </w:tc>
      </w:tr>
    </w:tbl>
    <w:p/>
    <w:p>
      <w:pPr>
        <w:pStyle w:val="Heading2"/>
      </w:pPr>
      <w:r>
        <w:t>16. 导出记录字段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taskName</w:t>
            </w:r>
          </w:p>
        </w:tc>
        <w:tc>
          <w:tcPr>
            <w:tcW w:type="dxa" w:w="4320"/>
          </w:tcPr>
          <w:p>
            <w:r>
              <w:t>任务名称</w:t>
            </w:r>
          </w:p>
        </w:tc>
      </w:tr>
      <w:tr>
        <w:tc>
          <w:tcPr>
            <w:tcW w:type="dxa" w:w="4320"/>
          </w:tcPr>
          <w:p>
            <w:r>
              <w:t>exportType</w:t>
            </w:r>
          </w:p>
        </w:tc>
        <w:tc>
          <w:tcPr>
            <w:tcW w:type="dxa" w:w="4320"/>
          </w:tcPr>
          <w:p>
            <w:r>
              <w:t>表格/图表/报告</w:t>
            </w:r>
          </w:p>
        </w:tc>
      </w:tr>
      <w:tr>
        <w:tc>
          <w:tcPr>
            <w:tcW w:type="dxa" w:w="4320"/>
          </w:tcPr>
          <w:p>
            <w:r>
              <w:t>fileFormat</w:t>
            </w:r>
          </w:p>
        </w:tc>
        <w:tc>
          <w:tcPr>
            <w:tcW w:type="dxa" w:w="4320"/>
          </w:tcPr>
          <w:p>
            <w:r>
              <w:t>Excel/PDF/CSV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公司明细、行业汇总、分行维度等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导出字段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导出人</w:t>
            </w:r>
          </w:p>
        </w:tc>
      </w:tr>
      <w:tr>
        <w:tc>
          <w:tcPr>
            <w:tcW w:type="dxa" w:w="4320"/>
          </w:tcPr>
          <w:p>
            <w:r>
              <w:t>exportedAt</w:t>
            </w:r>
          </w:p>
        </w:tc>
        <w:tc>
          <w:tcPr>
            <w:tcW w:type="dxa" w:w="4320"/>
          </w:tcPr>
          <w:p>
            <w:r>
              <w:t>导出时间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文件名（建议新增）</w:t>
            </w:r>
          </w:p>
        </w:tc>
      </w:tr>
      <w:tr>
        <w:tc>
          <w:tcPr>
            <w:tcW w:type="dxa" w:w="4320"/>
          </w:tcPr>
          <w:p>
            <w:r>
              <w:t>fileHash</w:t>
            </w:r>
          </w:p>
        </w:tc>
        <w:tc>
          <w:tcPr>
            <w:tcW w:type="dxa" w:w="4320"/>
          </w:tcPr>
          <w:p>
            <w:r>
              <w:t>文件哈希（审计建议）</w:t>
            </w:r>
          </w:p>
        </w:tc>
      </w:tr>
    </w:tbl>
    <w:p/>
    <w:p>
      <w:pPr>
        <w:pStyle w:val="Heading2"/>
      </w:pPr>
      <w:r>
        <w:t>17. 操作日志字段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taskId</w:t>
            </w:r>
          </w:p>
        </w:tc>
        <w:tc>
          <w:tcPr>
            <w:tcW w:type="dxa" w:w="4320"/>
          </w:tcPr>
          <w:p>
            <w:r>
              <w:t>任务ID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操作时间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操作人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操作内容</w:t>
            </w:r>
          </w:p>
        </w:tc>
      </w:tr>
      <w:tr>
        <w:tc>
          <w:tcPr>
            <w:tcW w:type="dxa" w:w="4320"/>
          </w:tcPr>
          <w:p>
            <w:r>
              <w:t>beforeStatus</w:t>
            </w:r>
          </w:p>
        </w:tc>
        <w:tc>
          <w:tcPr>
            <w:tcW w:type="dxa" w:w="4320"/>
          </w:tcPr>
          <w:p>
            <w:r>
              <w:t>操作前状态（建议新增）</w:t>
            </w:r>
          </w:p>
        </w:tc>
      </w:tr>
      <w:tr>
        <w:tc>
          <w:tcPr>
            <w:tcW w:type="dxa" w:w="4320"/>
          </w:tcPr>
          <w:p>
            <w:r>
              <w:t>afterStatus</w:t>
            </w:r>
          </w:p>
        </w:tc>
        <w:tc>
          <w:tcPr>
            <w:tcW w:type="dxa" w:w="4320"/>
          </w:tcPr>
          <w:p>
            <w:r>
              <w:t>操作后状态（建议新增）</w:t>
            </w:r>
          </w:p>
        </w:tc>
      </w:tr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操作详情（建议新增）</w:t>
            </w:r>
          </w:p>
        </w:tc>
      </w:tr>
    </w:tbl>
    <w:p>
      <w:r>
        <w:t>当前已记录：创建任务、编辑任务、同步财务数据、确认清单、计算行业均值、填充数据、调取信贷、调取ECL、开始压测、压测完成、导出、归档等。</w:t>
      </w:r>
    </w:p>
    <w:p/>
    <w:p>
      <w:pPr>
        <w:pStyle w:val="Heading2"/>
      </w:pPr>
      <w:r>
        <w:t>18. 字段依赖关系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缺少字段</w:t>
            </w:r>
          </w:p>
        </w:tc>
        <w:tc>
          <w:tcPr>
            <w:tcW w:type="dxa" w:w="4320"/>
          </w:tcPr>
          <w:p>
            <w:r>
              <w:t>影响</w:t>
            </w:r>
          </w:p>
        </w:tc>
      </w:tr>
      <w:tr>
        <w:tc>
          <w:tcPr>
            <w:tcW w:type="dxa" w:w="4320"/>
          </w:tcPr>
          <w:p>
            <w:r>
              <w:t>companyName / customerId</w:t>
            </w:r>
          </w:p>
        </w:tc>
        <w:tc>
          <w:tcPr>
            <w:tcW w:type="dxa" w:w="4320"/>
          </w:tcPr>
          <w:p>
            <w:r>
              <w:t>难以跨系统匹配</w:t>
            </w:r>
          </w:p>
        </w:tc>
      </w:tr>
      <w:tr>
        <w:tc>
          <w:tcPr>
            <w:tcW w:type="dxa" w:w="4320"/>
          </w:tcPr>
          <w:p>
            <w:r>
              <w:t>apiIndustry / standardIndustry</w:t>
            </w:r>
          </w:p>
        </w:tc>
        <w:tc>
          <w:tcPr>
            <w:tcW w:type="dxa" w:w="4320"/>
          </w:tcPr>
          <w:p>
            <w:r>
              <w:t>无法选行业因子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无法计算碳排放和碳费</w:t>
            </w:r>
          </w:p>
        </w:tc>
      </w:tr>
      <w:tr>
        <w:tc>
          <w:tcPr>
            <w:tcW w:type="dxa" w:w="4320"/>
          </w:tcPr>
          <w:p>
            <w:r>
              <w:t>costIncomeRatio</w:t>
            </w:r>
          </w:p>
        </w:tc>
        <w:tc>
          <w:tcPr>
            <w:tcW w:type="dxa" w:w="4320"/>
          </w:tcPr>
          <w:p>
            <w:r>
              <w:t>无法计算高碳行业支出，需默认值</w:t>
            </w:r>
          </w:p>
        </w:tc>
      </w:tr>
      <w:tr>
        <w:tc>
          <w:tcPr>
            <w:tcW w:type="dxa" w:w="4320"/>
          </w:tcPr>
          <w:p>
            <w:r>
              <w:t>emissionFactorCode / gbIndustryCode</w:t>
            </w:r>
          </w:p>
        </w:tc>
        <w:tc>
          <w:tcPr>
            <w:tcW w:type="dxa" w:w="4320"/>
          </w:tcPr>
          <w:p>
            <w:r>
              <w:t>因子匹配不准</w:t>
            </w:r>
          </w:p>
        </w:tc>
      </w:tr>
      <w:tr>
        <w:tc>
          <w:tcPr>
            <w:tcW w:type="dxa" w:w="4320"/>
          </w:tcPr>
          <w:p>
            <w:r>
              <w:t>eclAmount</w:t>
            </w:r>
          </w:p>
        </w:tc>
        <w:tc>
          <w:tcPr>
            <w:tcW w:type="dxa" w:w="4320"/>
          </w:tcPr>
          <w:p>
            <w:r>
              <w:t>无法得到准确 ECL前</w:t>
            </w:r>
          </w:p>
        </w:tc>
      </w:tr>
      <w:tr>
        <w:tc>
          <w:tcPr>
            <w:tcW w:type="dxa" w:w="4320"/>
          </w:tcPr>
          <w:p>
            <w:r>
              <w:t>信贷数据</w:t>
            </w:r>
          </w:p>
        </w:tc>
        <w:tc>
          <w:tcPr>
            <w:tcW w:type="dxa" w:w="4320"/>
          </w:tcPr>
          <w:p>
            <w:r>
              <w:t>当前页面不允许压测，生产也无法评估敞口影响</w:t>
            </w:r>
          </w:p>
        </w:tc>
      </w:tr>
      <w:tr>
        <w:tc>
          <w:tcPr>
            <w:tcW w:type="dxa" w:w="4320"/>
          </w:tcPr>
          <w:p>
            <w:r>
              <w:t>场景参数</w:t>
            </w:r>
          </w:p>
        </w:tc>
        <w:tc>
          <w:tcPr>
            <w:tcW w:type="dxa" w:w="4320"/>
          </w:tcPr>
          <w:p>
            <w:r>
              <w:t>无法确定碳价、免费配额</w:t>
            </w:r>
          </w:p>
        </w:tc>
      </w:tr>
      <w:tr>
        <w:tc>
          <w:tcPr>
            <w:tcW w:type="dxa" w:w="4320"/>
          </w:tcPr>
          <w:p>
            <w:r>
              <w:t>需计算未填充</w:t>
            </w:r>
          </w:p>
        </w:tc>
        <w:tc>
          <w:tcPr>
            <w:tcW w:type="dxa" w:w="4320"/>
          </w:tcPr>
          <w:p>
            <w:r>
              <w:t>样本不能进入压测</w:t>
            </w:r>
          </w:p>
        </w:tc>
      </w:tr>
      <w:tr>
        <w:tc>
          <w:tcPr>
            <w:tcW w:type="dxa" w:w="4320"/>
          </w:tcPr>
          <w:p>
            <w:r>
              <w:t>无法处理未处理</w:t>
            </w:r>
          </w:p>
        </w:tc>
        <w:tc>
          <w:tcPr>
            <w:tcW w:type="dxa" w:w="4320"/>
          </w:tcPr>
          <w:p>
            <w:r>
              <w:t>不能确认清单</w:t>
            </w:r>
          </w:p>
        </w:tc>
      </w:tr>
    </w:tbl>
    <w:p/>
    <w:p>
      <w:pPr>
        <w:pStyle w:val="Heading2"/>
      </w:pPr>
      <w:r>
        <w:t>19. 建议最小必填字段清单</w:t>
      </w:r>
    </w:p>
    <w:p>
      <w:r>
        <w:t>如果先做一期上线，建议最小字段如下：</w:t>
      </w:r>
    </w:p>
    <w:p>
      <w:pPr>
        <w:pStyle w:val="Heading3"/>
      </w:pPr>
      <w:r>
        <w:t>财务/客户最小字段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companyName</w:t>
            </w:r>
          </w:p>
        </w:tc>
        <w:tc>
          <w:tcPr>
            <w:tcW w:type="dxa" w:w="4320"/>
          </w:tcPr>
          <w:p>
            <w:r>
              <w:t>公司</w:t>
            </w:r>
          </w:p>
        </w:tc>
      </w:tr>
      <w:tr>
        <w:tc>
          <w:tcPr>
            <w:tcW w:type="dxa" w:w="4320"/>
          </w:tcPr>
          <w:p>
            <w:r>
              <w:t>customerId</w:t>
            </w:r>
          </w:p>
        </w:tc>
        <w:tc>
          <w:tcPr>
            <w:tcW w:type="dxa" w:w="4320"/>
          </w:tcPr>
          <w:p>
            <w:r>
              <w:t>客户号</w:t>
            </w:r>
          </w:p>
        </w:tc>
      </w:tr>
      <w:tr>
        <w:tc>
          <w:tcPr>
            <w:tcW w:type="dxa" w:w="4320"/>
          </w:tcPr>
          <w:p>
            <w:r>
              <w:t>branchName / branchCode</w:t>
            </w:r>
          </w:p>
        </w:tc>
        <w:tc>
          <w:tcPr>
            <w:tcW w:type="dxa" w:w="4320"/>
          </w:tcPr>
          <w:p>
            <w:r>
              <w:t>分行</w:t>
            </w:r>
          </w:p>
        </w:tc>
      </w:tr>
      <w:tr>
        <w:tc>
          <w:tcPr>
            <w:tcW w:type="dxa" w:w="4320"/>
          </w:tcPr>
          <w:p>
            <w:r>
              <w:t>apiIndustry</w:t>
            </w:r>
          </w:p>
        </w:tc>
        <w:tc>
          <w:tcPr>
            <w:tcW w:type="dxa" w:w="4320"/>
          </w:tcPr>
          <w:p>
            <w:r>
              <w:t>原始行业</w:t>
            </w:r>
          </w:p>
        </w:tc>
      </w:tr>
      <w:tr>
        <w:tc>
          <w:tcPr>
            <w:tcW w:type="dxa" w:w="4320"/>
          </w:tcPr>
          <w:p>
            <w:r>
              <w:t>standardIndustry 或 gbIndustryCode</w:t>
            </w:r>
          </w:p>
        </w:tc>
        <w:tc>
          <w:tcPr>
            <w:tcW w:type="dxa" w:w="4320"/>
          </w:tcPr>
          <w:p>
            <w:r>
              <w:t>标准行业/国标代码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营业收入</w:t>
            </w:r>
          </w:p>
        </w:tc>
      </w:tr>
      <w:tr>
        <w:tc>
          <w:tcPr>
            <w:tcW w:type="dxa" w:w="4320"/>
          </w:tcPr>
          <w:p>
            <w:r>
              <w:t>costIncomeRatio</w:t>
            </w:r>
          </w:p>
        </w:tc>
        <w:tc>
          <w:tcPr>
            <w:tcW w:type="dxa" w:w="4320"/>
          </w:tcPr>
          <w:p>
            <w:r>
              <w:t>成本收入比</w:t>
            </w:r>
          </w:p>
        </w:tc>
      </w:tr>
    </w:tbl>
    <w:p>
      <w:pPr>
        <w:pStyle w:val="Heading3"/>
      </w:pPr>
      <w:r>
        <w:t>信贷最小字段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customerId / companyName</w:t>
            </w:r>
          </w:p>
        </w:tc>
        <w:tc>
          <w:tcPr>
            <w:tcW w:type="dxa" w:w="4320"/>
          </w:tcPr>
          <w:p>
            <w:r>
              <w:t>匹配键</w:t>
            </w:r>
          </w:p>
        </w:tc>
      </w:tr>
      <w:tr>
        <w:tc>
          <w:tcPr>
            <w:tcW w:type="dxa" w:w="4320"/>
          </w:tcPr>
          <w:p>
            <w:r>
              <w:t>loanBalance</w:t>
            </w:r>
          </w:p>
        </w:tc>
        <w:tc>
          <w:tcPr>
            <w:tcW w:type="dxa" w:w="4320"/>
          </w:tcPr>
          <w:p>
            <w:r>
              <w:t>贷款余额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评级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五级分类</w:t>
            </w:r>
          </w:p>
        </w:tc>
      </w:tr>
      <w:tr>
        <w:tc>
          <w:tcPr>
            <w:tcW w:type="dxa" w:w="4320"/>
          </w:tcPr>
          <w:p>
            <w:r>
              <w:t>guaranteeType</w:t>
            </w:r>
          </w:p>
        </w:tc>
        <w:tc>
          <w:tcPr>
            <w:tcW w:type="dxa" w:w="4320"/>
          </w:tcPr>
          <w:p>
            <w:r>
              <w:t>担保方式</w:t>
            </w:r>
          </w:p>
        </w:tc>
      </w:tr>
    </w:tbl>
    <w:p>
      <w:pPr>
        <w:pStyle w:val="Heading3"/>
      </w:pPr>
      <w:r>
        <w:t>ECL最小字段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customerId / companyName</w:t>
            </w:r>
          </w:p>
        </w:tc>
        <w:tc>
          <w:tcPr>
            <w:tcW w:type="dxa" w:w="4320"/>
          </w:tcPr>
          <w:p>
            <w:r>
              <w:t>匹配键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PD</w:t>
            </w:r>
          </w:p>
        </w:tc>
      </w:tr>
      <w:tr>
        <w:tc>
          <w:tcPr>
            <w:tcW w:type="dxa" w:w="4320"/>
          </w:tcPr>
          <w:p>
            <w:r>
              <w:t>lgd</w:t>
            </w:r>
          </w:p>
        </w:tc>
        <w:tc>
          <w:tcPr>
            <w:tcW w:type="dxa" w:w="4320"/>
          </w:tcPr>
          <w:p>
            <w:r>
              <w:t>LGD</w:t>
            </w:r>
          </w:p>
        </w:tc>
      </w:tr>
      <w:tr>
        <w:tc>
          <w:tcPr>
            <w:tcW w:type="dxa" w:w="4320"/>
          </w:tcPr>
          <w:p>
            <w:r>
              <w:t>ead</w:t>
            </w:r>
          </w:p>
        </w:tc>
        <w:tc>
          <w:tcPr>
            <w:tcW w:type="dxa" w:w="4320"/>
          </w:tcPr>
          <w:p>
            <w:r>
              <w:t>EAD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阶段</w:t>
            </w:r>
          </w:p>
        </w:tc>
      </w:tr>
      <w:tr>
        <w:tc>
          <w:tcPr>
            <w:tcW w:type="dxa" w:w="4320"/>
          </w:tcPr>
          <w:p>
            <w:r>
              <w:t>eclAmount</w:t>
            </w:r>
          </w:p>
        </w:tc>
        <w:tc>
          <w:tcPr>
            <w:tcW w:type="dxa" w:w="4320"/>
          </w:tcPr>
          <w:p>
            <w:r>
              <w:t>ECL金额</w:t>
            </w:r>
          </w:p>
        </w:tc>
      </w:tr>
    </w:tbl>
    <w:p>
      <w:pPr>
        <w:pStyle w:val="Heading3"/>
      </w:pPr>
      <w:r>
        <w:t>场景最小字段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scenarioCode</w:t>
            </w:r>
          </w:p>
        </w:tc>
        <w:tc>
          <w:tcPr>
            <w:tcW w:type="dxa" w:w="4320"/>
          </w:tcPr>
          <w:p>
            <w:r>
              <w:t>情景编码</w:t>
            </w:r>
          </w:p>
        </w:tc>
      </w:tr>
      <w:tr>
        <w:tc>
          <w:tcPr>
            <w:tcW w:type="dxa" w:w="4320"/>
          </w:tcPr>
          <w:p>
            <w:r>
              <w:t>scenarioName</w:t>
            </w:r>
          </w:p>
        </w:tc>
        <w:tc>
          <w:tcPr>
            <w:tcW w:type="dxa" w:w="4320"/>
          </w:tcPr>
          <w:p>
            <w:r>
              <w:t>情景名称</w:t>
            </w:r>
          </w:p>
        </w:tc>
      </w:tr>
      <w:tr>
        <w:tc>
          <w:tcPr>
            <w:tcW w:type="dxa" w:w="4320"/>
          </w:tcPr>
          <w:p>
            <w:r>
              <w:t>freeQuota2025 / freeQuota2040</w:t>
            </w:r>
          </w:p>
        </w:tc>
        <w:tc>
          <w:tcPr>
            <w:tcW w:type="dxa" w:w="4320"/>
          </w:tcPr>
          <w:p>
            <w:r>
              <w:t>免费配额路径</w:t>
            </w:r>
          </w:p>
        </w:tc>
      </w:tr>
      <w:tr>
        <w:tc>
          <w:tcPr>
            <w:tcW w:type="dxa" w:w="4320"/>
          </w:tcPr>
          <w:p>
            <w:r>
              <w:t>carbonPrice2025 / carbonPrice2040</w:t>
            </w:r>
          </w:p>
        </w:tc>
        <w:tc>
          <w:tcPr>
            <w:tcW w:type="dxa" w:w="4320"/>
          </w:tcPr>
          <w:p>
            <w:r>
              <w:t>碳价路径</w:t>
            </w:r>
          </w:p>
        </w:tc>
      </w:tr>
      <w:tr>
        <w:tc>
          <w:tcPr>
            <w:tcW w:type="dxa" w:w="4320"/>
          </w:tcPr>
          <w:p>
            <w:r>
              <w:t>testYear</w:t>
            </w:r>
          </w:p>
        </w:tc>
        <w:tc>
          <w:tcPr>
            <w:tcW w:type="dxa" w:w="4320"/>
          </w:tcPr>
          <w:p>
            <w:r>
              <w:t>测试年</w:t>
            </w:r>
          </w:p>
        </w:tc>
      </w:tr>
      <w:tr>
        <w:tc>
          <w:tcPr>
            <w:tcW w:type="dxa" w:w="4320"/>
          </w:tcPr>
          <w:p>
            <w:r>
              <w:t>formulaVersion</w:t>
            </w:r>
          </w:p>
        </w:tc>
        <w:tc>
          <w:tcPr>
            <w:tcW w:type="dxa" w:w="4320"/>
          </w:tcPr>
          <w:p>
            <w:r>
              <w:t>公式版本</w:t>
            </w:r>
          </w:p>
        </w:tc>
      </w:tr>
    </w:tbl>
    <w:p/>
    <w:p>
      <w:pPr>
        <w:pStyle w:val="Heading2"/>
      </w:pPr>
      <w:r>
        <w:t>20. 页面与字段对应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页面/步骤</w:t>
            </w:r>
          </w:p>
        </w:tc>
        <w:tc>
          <w:tcPr>
            <w:tcW w:type="dxa" w:w="4320"/>
          </w:tcPr>
          <w:p>
            <w:r>
              <w:t>字段范围</w:t>
            </w:r>
          </w:p>
        </w:tc>
      </w:tr>
      <w:tr>
        <w:tc>
          <w:tcPr>
            <w:tcW w:type="dxa" w:w="4320"/>
          </w:tcPr>
          <w:p>
            <w:r>
              <w:t>创建任务</w:t>
            </w:r>
          </w:p>
        </w:tc>
        <w:tc>
          <w:tcPr>
            <w:tcW w:type="dxa" w:w="4320"/>
          </w:tcPr>
          <w:p>
            <w:r>
              <w:t>任务基本信息、版本字段</w:t>
            </w:r>
          </w:p>
        </w:tc>
      </w:tr>
      <w:tr>
        <w:tc>
          <w:tcPr>
            <w:tcW w:type="dxa" w:w="4320"/>
          </w:tcPr>
          <w:p>
            <w:r>
              <w:t>数据同步与确认</w:t>
            </w:r>
          </w:p>
        </w:tc>
        <w:tc>
          <w:tcPr>
            <w:tcW w:type="dxa" w:w="4320"/>
          </w:tcPr>
          <w:p>
            <w:r>
              <w:t>财务/客户字段、状态分流</w:t>
            </w:r>
          </w:p>
        </w:tc>
      </w:tr>
      <w:tr>
        <w:tc>
          <w:tcPr>
            <w:tcW w:type="dxa" w:w="4320"/>
          </w:tcPr>
          <w:p>
            <w:r>
              <w:t>行业均值</w:t>
            </w:r>
          </w:p>
        </w:tc>
        <w:tc>
          <w:tcPr>
            <w:tcW w:type="dxa" w:w="4320"/>
          </w:tcPr>
          <w:p>
            <w:r>
              <w:t>缺失字段补算、均值字段</w:t>
            </w:r>
          </w:p>
        </w:tc>
      </w:tr>
      <w:tr>
        <w:tc>
          <w:tcPr>
            <w:tcW w:type="dxa" w:w="4320"/>
          </w:tcPr>
          <w:p>
            <w:r>
              <w:t>场景压测</w:t>
            </w:r>
          </w:p>
        </w:tc>
        <w:tc>
          <w:tcPr>
            <w:tcW w:type="dxa" w:w="4320"/>
          </w:tcPr>
          <w:p>
            <w:r>
              <w:t>信贷、ECL、场景选择</w:t>
            </w:r>
          </w:p>
        </w:tc>
      </w:tr>
      <w:tr>
        <w:tc>
          <w:tcPr>
            <w:tcW w:type="dxa" w:w="4320"/>
          </w:tcPr>
          <w:p>
            <w:r>
              <w:t>压测结果</w:t>
            </w:r>
          </w:p>
        </w:tc>
        <w:tc>
          <w:tcPr>
            <w:tcW w:type="dxa" w:w="4320"/>
          </w:tcPr>
          <w:p>
            <w:r>
              <w:t>企业 × 情景 结果字段</w:t>
            </w:r>
          </w:p>
        </w:tc>
      </w:tr>
      <w:tr>
        <w:tc>
          <w:tcPr>
            <w:tcW w:type="dxa" w:w="4320"/>
          </w:tcPr>
          <w:p>
            <w:r>
              <w:t>因子库管理</w:t>
            </w:r>
          </w:p>
        </w:tc>
        <w:tc>
          <w:tcPr>
            <w:tcW w:type="dxa" w:w="4320"/>
          </w:tcPr>
          <w:p>
            <w:r>
              <w:t>行业排放因子</w:t>
            </w:r>
          </w:p>
        </w:tc>
      </w:tr>
      <w:tr>
        <w:tc>
          <w:tcPr>
            <w:tcW w:type="dxa" w:w="4320"/>
          </w:tcPr>
          <w:p>
            <w:r>
              <w:t>场景计算方法配置</w:t>
            </w:r>
          </w:p>
        </w:tc>
        <w:tc>
          <w:tcPr>
            <w:tcW w:type="dxa" w:w="4320"/>
          </w:tcPr>
          <w:p>
            <w:r>
              <w:t>场景参数、公式版本</w:t>
            </w:r>
          </w:p>
        </w:tc>
      </w:tr>
      <w:tr>
        <w:tc>
          <w:tcPr>
            <w:tcW w:type="dxa" w:w="4320"/>
          </w:tcPr>
          <w:p>
            <w:r>
              <w:t>行业映射关系</w:t>
            </w:r>
          </w:p>
        </w:tc>
        <w:tc>
          <w:tcPr>
            <w:tcW w:type="dxa" w:w="4320"/>
          </w:tcPr>
          <w:p>
            <w:r>
              <w:t>行业标准化映射</w:t>
            </w:r>
          </w:p>
        </w:tc>
      </w:tr>
      <w:tr>
        <w:tc>
          <w:tcPr>
            <w:tcW w:type="dxa" w:w="4320"/>
          </w:tcPr>
          <w:p>
            <w:r>
              <w:t>导出记录</w:t>
            </w:r>
          </w:p>
        </w:tc>
        <w:tc>
          <w:tcPr>
            <w:tcW w:type="dxa" w:w="4320"/>
          </w:tcPr>
          <w:p>
            <w:r>
              <w:t>导出留痕</w:t>
            </w:r>
          </w:p>
        </w:tc>
      </w:tr>
      <w:tr>
        <w:tc>
          <w:tcPr>
            <w:tcW w:type="dxa" w:w="4320"/>
          </w:tcPr>
          <w:p>
            <w:r>
              <w:t>操作日志</w:t>
            </w:r>
          </w:p>
        </w:tc>
        <w:tc>
          <w:tcPr>
            <w:tcW w:type="dxa" w:w="4320"/>
          </w:tcPr>
          <w:p>
            <w:r>
              <w:t>流程操作留痕</w:t>
            </w:r>
          </w:p>
        </w:tc>
      </w:tr>
    </w:tbl>
    <w:p/>
    <w:p>
      <w:pPr>
        <w:pStyle w:val="Heading2"/>
      </w:pPr>
      <w:r>
        <w:t>21. 结论</w:t>
      </w:r>
    </w:p>
    <w:p>
      <w:r>
        <w:t>1. **当前原型只有 3 个情景**，因为原始材料就是「1 个基准情景 + 2 个转型情景」。</w:t>
      </w:r>
    </w:p>
    <w:p>
      <w:r>
        <w:t>2. **系统设计不应限制只能 3 个**，后续应支持在「场景计算方法配置」里新增更多转型、物理、综合情景。</w:t>
      </w:r>
    </w:p>
    <w:p>
      <w:r>
        <w:t>3. 当前最核心的计算字段是：`revenue`、`standardIndustry/gbIndustryCode`、`emissionFactorCode`、`costIncomeRatio`、`eclAmount`、`scenarioCode`、`freeQuotaRatio`、`carbonPrice`。</w:t>
      </w:r>
    </w:p>
    <w:p>
      <w:r>
        <w:t>4. 结果粒度是 **企业 × 情景**，不是企业只能选一个情景。</w:t>
      </w:r>
    </w:p>
    <w:p>
      <w:r>
        <w:t>*文档版本：2026-06-04；与当前完整版 HTML 原型及行内计算逻辑文档对齐。*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