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8EC" w:rsidRPr="004748EC" w:rsidRDefault="004748EC">
      <w:pPr>
        <w:rPr>
          <w:rFonts w:ascii="Calibri" w:hAnsi="Calibri" w:cs="Calibri"/>
          <w:sz w:val="24"/>
          <w:szCs w:val="24"/>
        </w:rPr>
      </w:pPr>
      <w:r w:rsidRPr="004748EC">
        <w:rPr>
          <w:rFonts w:ascii="Calibri" w:hAnsi="Calibri" w:cs="Calibri"/>
          <w:sz w:val="24"/>
          <w:szCs w:val="24"/>
        </w:rPr>
        <w:t>Trigger events</w:t>
      </w:r>
    </w:p>
    <w:p w:rsidR="004748EC" w:rsidRPr="004748EC" w:rsidRDefault="004748EC">
      <w:pPr>
        <w:rPr>
          <w:rFonts w:ascii="Calibri" w:hAnsi="Calibri" w:cs="Calibri"/>
          <w:sz w:val="24"/>
          <w:szCs w:val="24"/>
        </w:rPr>
      </w:pPr>
    </w:p>
    <w:p w:rsidR="004748EC" w:rsidRPr="004748EC" w:rsidRDefault="004748EC">
      <w:pPr>
        <w:rPr>
          <w:rFonts w:ascii="Calibri" w:hAnsi="Calibri" w:cs="Calibri"/>
          <w:sz w:val="24"/>
          <w:szCs w:val="24"/>
        </w:rPr>
      </w:pPr>
    </w:p>
    <w:p w:rsidR="004A602A" w:rsidRPr="004748EC" w:rsidRDefault="004748EC" w:rsidP="004748EC">
      <w:pPr>
        <w:pStyle w:val="ListParagraph"/>
        <w:numPr>
          <w:ilvl w:val="0"/>
          <w:numId w:val="1"/>
        </w:numPr>
        <w:rPr>
          <w:rFonts w:ascii="Calibri" w:hAnsi="Calibri" w:cs="Calibri"/>
          <w:sz w:val="24"/>
          <w:szCs w:val="24"/>
        </w:rPr>
      </w:pPr>
      <w:r w:rsidRPr="004748EC">
        <w:rPr>
          <w:rFonts w:ascii="Calibri" w:hAnsi="Calibri" w:cs="Calibri"/>
          <w:sz w:val="24"/>
          <w:szCs w:val="24"/>
          <w:shd w:val="clear" w:color="auto" w:fill="FFFFFF"/>
        </w:rPr>
        <w:t>Addition or withdrawal of money from a CD</w:t>
      </w:r>
    </w:p>
    <w:p w:rsidR="004748EC" w:rsidRPr="004748EC" w:rsidRDefault="004748EC" w:rsidP="004748EC">
      <w:pPr>
        <w:pStyle w:val="ListParagraph"/>
        <w:numPr>
          <w:ilvl w:val="0"/>
          <w:numId w:val="1"/>
        </w:numPr>
        <w:rPr>
          <w:rFonts w:ascii="Calibri" w:hAnsi="Calibri" w:cs="Calibri"/>
          <w:sz w:val="24"/>
          <w:szCs w:val="24"/>
        </w:rPr>
      </w:pPr>
      <w:r w:rsidRPr="004748EC">
        <w:rPr>
          <w:rFonts w:ascii="Calibri" w:hAnsi="Calibri" w:cs="Calibri"/>
          <w:sz w:val="24"/>
          <w:szCs w:val="24"/>
          <w:shd w:val="clear" w:color="auto" w:fill="FFFFFF"/>
        </w:rPr>
        <w:t>Opening of a new account for an existing customer relationship</w:t>
      </w:r>
    </w:p>
    <w:p w:rsidR="004748EC" w:rsidRPr="004748EC" w:rsidRDefault="004748EC" w:rsidP="004748EC">
      <w:pPr>
        <w:pStyle w:val="ListParagraph"/>
        <w:numPr>
          <w:ilvl w:val="0"/>
          <w:numId w:val="1"/>
        </w:numPr>
        <w:rPr>
          <w:rFonts w:ascii="Calibri" w:hAnsi="Calibri" w:cs="Calibri"/>
          <w:sz w:val="24"/>
          <w:szCs w:val="24"/>
        </w:rPr>
      </w:pPr>
      <w:r w:rsidRPr="004748EC">
        <w:rPr>
          <w:rFonts w:ascii="Calibri" w:hAnsi="Calibri" w:cs="Calibri"/>
          <w:sz w:val="24"/>
          <w:szCs w:val="24"/>
          <w:shd w:val="clear" w:color="auto" w:fill="FFFFFF"/>
        </w:rPr>
        <w:t>A change in account signers</w:t>
      </w:r>
    </w:p>
    <w:p w:rsidR="004748EC" w:rsidRPr="004748EC" w:rsidRDefault="004748EC" w:rsidP="004748EC">
      <w:pPr>
        <w:pStyle w:val="ListParagraph"/>
        <w:numPr>
          <w:ilvl w:val="0"/>
          <w:numId w:val="1"/>
        </w:numPr>
        <w:rPr>
          <w:rFonts w:ascii="Calibri" w:hAnsi="Calibri" w:cs="Calibri"/>
          <w:sz w:val="24"/>
          <w:szCs w:val="24"/>
        </w:rPr>
      </w:pPr>
      <w:r w:rsidRPr="004748EC">
        <w:rPr>
          <w:rFonts w:ascii="Calibri" w:hAnsi="Calibri" w:cs="Calibri"/>
          <w:sz w:val="24"/>
          <w:szCs w:val="24"/>
          <w:shd w:val="clear" w:color="auto" w:fill="FFFFFF"/>
        </w:rPr>
        <w:t>Change in legal entity name or structure.</w:t>
      </w:r>
    </w:p>
    <w:p w:rsidR="004748EC" w:rsidRPr="004748EC" w:rsidRDefault="005D67D6" w:rsidP="004748EC">
      <w:pPr>
        <w:pStyle w:val="ListParagraph"/>
        <w:numPr>
          <w:ilvl w:val="0"/>
          <w:numId w:val="1"/>
        </w:numPr>
        <w:rPr>
          <w:rFonts w:ascii="Calibri" w:hAnsi="Calibri" w:cs="Calibri"/>
          <w:sz w:val="24"/>
          <w:szCs w:val="24"/>
        </w:rPr>
      </w:pPr>
      <w:r>
        <w:rPr>
          <w:rFonts w:ascii="Calibri" w:hAnsi="Calibri" w:cs="Calibri"/>
          <w:sz w:val="24"/>
          <w:szCs w:val="24"/>
          <w:shd w:val="clear" w:color="auto" w:fill="FFFFFF"/>
        </w:rPr>
        <w:t>A</w:t>
      </w:r>
      <w:r w:rsidRPr="005D67D6">
        <w:rPr>
          <w:rFonts w:ascii="Calibri" w:hAnsi="Calibri" w:cs="Calibri"/>
          <w:sz w:val="24"/>
          <w:szCs w:val="24"/>
          <w:shd w:val="clear" w:color="auto" w:fill="FFFFFF"/>
        </w:rPr>
        <w:t xml:space="preserve"> material change occurs in the client’s ownership and/or activities</w:t>
      </w:r>
      <w:r>
        <w:t xml:space="preserve"> </w:t>
      </w:r>
      <w:r w:rsidR="004748EC" w:rsidRPr="004748EC">
        <w:rPr>
          <w:rFonts w:ascii="Calibri" w:hAnsi="Calibri" w:cs="Calibri"/>
          <w:sz w:val="24"/>
          <w:szCs w:val="24"/>
          <w:shd w:val="clear" w:color="auto" w:fill="FFFFFF"/>
        </w:rPr>
        <w:t>(e.g., death, buyout)</w:t>
      </w:r>
    </w:p>
    <w:p w:rsidR="004748EC" w:rsidRPr="004748EC" w:rsidRDefault="004748EC" w:rsidP="004748EC">
      <w:pPr>
        <w:pStyle w:val="ListParagraph"/>
        <w:numPr>
          <w:ilvl w:val="0"/>
          <w:numId w:val="1"/>
        </w:numPr>
        <w:rPr>
          <w:rFonts w:ascii="Calibri" w:hAnsi="Calibri" w:cs="Calibri"/>
          <w:sz w:val="24"/>
          <w:szCs w:val="24"/>
        </w:rPr>
      </w:pPr>
      <w:r w:rsidRPr="004748EC">
        <w:rPr>
          <w:rFonts w:ascii="Calibri" w:hAnsi="Calibri" w:cs="Calibri"/>
          <w:sz w:val="24"/>
          <w:szCs w:val="24"/>
          <w:shd w:val="clear" w:color="auto" w:fill="FFFFFF"/>
        </w:rPr>
        <w:t>A change in the person conducting transactions for a business customer</w:t>
      </w:r>
    </w:p>
    <w:p w:rsidR="004748EC" w:rsidRPr="004748EC" w:rsidRDefault="004748EC" w:rsidP="004748EC">
      <w:pPr>
        <w:pStyle w:val="ListParagraph"/>
        <w:numPr>
          <w:ilvl w:val="0"/>
          <w:numId w:val="1"/>
        </w:numPr>
        <w:rPr>
          <w:rFonts w:ascii="Calibri" w:hAnsi="Calibri" w:cs="Calibri"/>
          <w:sz w:val="24"/>
          <w:szCs w:val="24"/>
        </w:rPr>
      </w:pPr>
      <w:r w:rsidRPr="004748EC">
        <w:rPr>
          <w:rFonts w:ascii="Calibri" w:hAnsi="Calibri" w:cs="Calibri"/>
          <w:sz w:val="24"/>
          <w:szCs w:val="24"/>
        </w:rPr>
        <w:t>W</w:t>
      </w:r>
      <w:r>
        <w:rPr>
          <w:rFonts w:ascii="Calibri" w:hAnsi="Calibri" w:cs="Calibri"/>
          <w:sz w:val="24"/>
          <w:szCs w:val="24"/>
        </w:rPr>
        <w:t>hen a significant</w:t>
      </w:r>
      <w:r>
        <w:rPr>
          <w:rStyle w:val="FootnoteReference"/>
          <w:rFonts w:ascii="Calibri" w:hAnsi="Calibri" w:cs="Calibri"/>
          <w:sz w:val="24"/>
          <w:szCs w:val="24"/>
        </w:rPr>
        <w:footnoteReference w:id="1"/>
      </w:r>
      <w:r w:rsidRPr="004748EC">
        <w:rPr>
          <w:rFonts w:ascii="Calibri" w:hAnsi="Calibri" w:cs="Calibri"/>
          <w:sz w:val="24"/>
          <w:szCs w:val="24"/>
        </w:rPr>
        <w:t xml:space="preserve"> transaction is to take place; </w:t>
      </w:r>
    </w:p>
    <w:p w:rsidR="004748EC" w:rsidRPr="004748EC" w:rsidRDefault="004748EC" w:rsidP="004748EC">
      <w:pPr>
        <w:pStyle w:val="ListParagraph"/>
        <w:numPr>
          <w:ilvl w:val="0"/>
          <w:numId w:val="1"/>
        </w:numPr>
        <w:rPr>
          <w:rFonts w:ascii="Calibri" w:hAnsi="Calibri" w:cs="Calibri"/>
          <w:sz w:val="24"/>
          <w:szCs w:val="24"/>
        </w:rPr>
      </w:pPr>
      <w:r w:rsidRPr="004748EC">
        <w:rPr>
          <w:rFonts w:ascii="Calibri" w:hAnsi="Calibri" w:cs="Calibri"/>
          <w:sz w:val="24"/>
          <w:szCs w:val="24"/>
        </w:rPr>
        <w:t>When</w:t>
      </w:r>
      <w:r w:rsidRPr="004748EC">
        <w:rPr>
          <w:rFonts w:ascii="Calibri" w:hAnsi="Calibri" w:cs="Calibri"/>
          <w:sz w:val="24"/>
          <w:szCs w:val="24"/>
        </w:rPr>
        <w:t xml:space="preserve"> a material change occurs on the way the </w:t>
      </w:r>
      <w:r>
        <w:rPr>
          <w:rFonts w:ascii="Calibri" w:hAnsi="Calibri" w:cs="Calibri"/>
          <w:sz w:val="24"/>
          <w:szCs w:val="24"/>
        </w:rPr>
        <w:t>customer’s account is operated</w:t>
      </w:r>
    </w:p>
    <w:p w:rsidR="004748EC" w:rsidRPr="004748EC" w:rsidRDefault="004748EC" w:rsidP="004748EC">
      <w:pPr>
        <w:pStyle w:val="ListParagraph"/>
        <w:numPr>
          <w:ilvl w:val="0"/>
          <w:numId w:val="1"/>
        </w:numPr>
        <w:rPr>
          <w:rFonts w:ascii="Calibri" w:hAnsi="Calibri" w:cs="Calibri"/>
          <w:sz w:val="24"/>
          <w:szCs w:val="24"/>
        </w:rPr>
      </w:pPr>
      <w:r w:rsidRPr="004748EC">
        <w:rPr>
          <w:rFonts w:ascii="Calibri" w:hAnsi="Calibri" w:cs="Calibri"/>
          <w:sz w:val="24"/>
          <w:szCs w:val="24"/>
        </w:rPr>
        <w:t>When</w:t>
      </w:r>
      <w:r w:rsidRPr="004748EC">
        <w:rPr>
          <w:rFonts w:ascii="Calibri" w:hAnsi="Calibri" w:cs="Calibri"/>
          <w:sz w:val="24"/>
          <w:szCs w:val="24"/>
        </w:rPr>
        <w:t xml:space="preserve"> the AI’s customer documentation standards change substantially</w:t>
      </w:r>
    </w:p>
    <w:p w:rsidR="004748EC" w:rsidRDefault="004748EC" w:rsidP="004748EC">
      <w:pPr>
        <w:pStyle w:val="ListParagraph"/>
        <w:numPr>
          <w:ilvl w:val="0"/>
          <w:numId w:val="1"/>
        </w:numPr>
        <w:rPr>
          <w:rFonts w:ascii="Calibri" w:hAnsi="Calibri" w:cs="Calibri"/>
          <w:sz w:val="24"/>
          <w:szCs w:val="24"/>
        </w:rPr>
      </w:pPr>
      <w:r w:rsidRPr="004748EC">
        <w:rPr>
          <w:rFonts w:ascii="Calibri" w:hAnsi="Calibri" w:cs="Calibri"/>
          <w:sz w:val="24"/>
          <w:szCs w:val="24"/>
        </w:rPr>
        <w:t>When</w:t>
      </w:r>
      <w:r w:rsidRPr="004748EC">
        <w:rPr>
          <w:rFonts w:ascii="Calibri" w:hAnsi="Calibri" w:cs="Calibri"/>
          <w:sz w:val="24"/>
          <w:szCs w:val="24"/>
        </w:rPr>
        <w:t xml:space="preserve"> the AI is aware that it lacks sufficient informati</w:t>
      </w:r>
      <w:r>
        <w:rPr>
          <w:rFonts w:ascii="Calibri" w:hAnsi="Calibri" w:cs="Calibri"/>
          <w:sz w:val="24"/>
          <w:szCs w:val="24"/>
        </w:rPr>
        <w:t>on about the customer concerned</w:t>
      </w:r>
    </w:p>
    <w:p w:rsidR="005D67D6" w:rsidRDefault="005D67D6" w:rsidP="005D67D6">
      <w:pPr>
        <w:rPr>
          <w:rFonts w:ascii="Calibri" w:hAnsi="Calibri" w:cs="Calibri"/>
          <w:sz w:val="24"/>
          <w:szCs w:val="24"/>
        </w:rPr>
      </w:pPr>
    </w:p>
    <w:p w:rsidR="005D67D6" w:rsidRDefault="005D67D6" w:rsidP="005D67D6">
      <w:pPr>
        <w:rPr>
          <w:rFonts w:ascii="Calibri" w:hAnsi="Calibri" w:cs="Calibri"/>
          <w:sz w:val="24"/>
          <w:szCs w:val="24"/>
        </w:rPr>
      </w:pPr>
    </w:p>
    <w:p w:rsidR="005D67D6" w:rsidRPr="005D67D6" w:rsidRDefault="005D67D6" w:rsidP="005D67D6">
      <w:pPr>
        <w:rPr>
          <w:rFonts w:ascii="Calibri" w:hAnsi="Calibri" w:cs="Calibri"/>
          <w:sz w:val="24"/>
          <w:szCs w:val="24"/>
        </w:rPr>
      </w:pPr>
      <w:r w:rsidRPr="005D67D6">
        <w:rPr>
          <w:rFonts w:ascii="Calibri" w:hAnsi="Calibri" w:cs="Calibri"/>
          <w:sz w:val="24"/>
          <w:szCs w:val="24"/>
        </w:rPr>
        <w:t>SDD in relation to specific products</w:t>
      </w:r>
    </w:p>
    <w:p w:rsidR="005D67D6" w:rsidRPr="005D67D6" w:rsidRDefault="005D67D6" w:rsidP="005D67D6">
      <w:pPr>
        <w:rPr>
          <w:rFonts w:ascii="Calibri" w:hAnsi="Calibri" w:cs="Calibri"/>
          <w:sz w:val="24"/>
          <w:szCs w:val="24"/>
        </w:rPr>
      </w:pPr>
    </w:p>
    <w:p w:rsidR="005D67D6" w:rsidRDefault="005D67D6" w:rsidP="005D67D6">
      <w:pPr>
        <w:rPr>
          <w:rFonts w:ascii="Calibri" w:hAnsi="Calibri" w:cs="Calibri"/>
          <w:sz w:val="24"/>
          <w:szCs w:val="24"/>
        </w:rPr>
      </w:pPr>
      <w:r w:rsidRPr="005D67D6">
        <w:rPr>
          <w:rFonts w:ascii="Calibri" w:hAnsi="Calibri" w:cs="Calibri"/>
          <w:sz w:val="24"/>
          <w:szCs w:val="24"/>
        </w:rPr>
        <w:t xml:space="preserve"> 620.11.10 It is not necessary to identify and verify the identity of any beneficial owner of the client, in the circumstances referred to in paragraph 620.3.1(a) or (b), if the practice has reasonable grounds to believe that the product to which the transaction relates is: (a) a provident, pension, retirement or superannuation scheme (however described) that provides retirement benefits to employees, where contributions to the scheme are made by way of deduction from income from employment and the scheme rules do not permit the assignment of a member’s interest under the scheme; or (b) an insurance policy of the kind stipulated in Schedule 2, section 4(5) of AMLO.</w:t>
      </w:r>
    </w:p>
    <w:p w:rsidR="00B15C25" w:rsidRDefault="00B15C25" w:rsidP="005D67D6">
      <w:pPr>
        <w:rPr>
          <w:rFonts w:ascii="Calibri" w:hAnsi="Calibri" w:cs="Calibri"/>
          <w:sz w:val="24"/>
          <w:szCs w:val="24"/>
        </w:rPr>
      </w:pPr>
    </w:p>
    <w:p w:rsidR="00B15C25" w:rsidRDefault="00B15C25" w:rsidP="005D67D6">
      <w:pPr>
        <w:rPr>
          <w:rFonts w:ascii="Calibri" w:hAnsi="Calibri" w:cs="Calibri"/>
          <w:sz w:val="24"/>
          <w:szCs w:val="24"/>
        </w:rPr>
      </w:pPr>
      <w:r>
        <w:rPr>
          <w:rFonts w:ascii="Calibri" w:hAnsi="Calibri" w:cs="Calibri"/>
          <w:sz w:val="24"/>
          <w:szCs w:val="24"/>
        </w:rPr>
        <w:t>EDD</w:t>
      </w:r>
    </w:p>
    <w:p w:rsidR="00B15C25" w:rsidRDefault="00B15C25" w:rsidP="005D67D6">
      <w:pPr>
        <w:rPr>
          <w:rFonts w:ascii="Calibri" w:hAnsi="Calibri" w:cs="Calibri"/>
          <w:sz w:val="24"/>
          <w:szCs w:val="24"/>
        </w:rPr>
      </w:pPr>
    </w:p>
    <w:tbl>
      <w:tblPr>
        <w:tblW w:w="5845" w:type="dxa"/>
        <w:tblLook w:val="04A0" w:firstRow="1" w:lastRow="0" w:firstColumn="1" w:lastColumn="0" w:noHBand="0" w:noVBand="1"/>
      </w:tblPr>
      <w:tblGrid>
        <w:gridCol w:w="623"/>
        <w:gridCol w:w="5408"/>
      </w:tblGrid>
      <w:tr w:rsidR="00B15C25" w:rsidRPr="00B15C25" w:rsidTr="00B15C25">
        <w:trPr>
          <w:trHeight w:val="300"/>
        </w:trPr>
        <w:tc>
          <w:tcPr>
            <w:tcW w:w="5845" w:type="dxa"/>
            <w:gridSpan w:val="2"/>
            <w:tcBorders>
              <w:top w:val="nil"/>
              <w:left w:val="nil"/>
              <w:bottom w:val="nil"/>
              <w:right w:val="nil"/>
            </w:tcBorders>
            <w:shd w:val="clear" w:color="auto" w:fill="auto"/>
            <w:noWrap/>
            <w:vAlign w:val="center"/>
            <w:hideMark/>
          </w:tcPr>
          <w:p w:rsidR="00B15C25" w:rsidRPr="00B15C25" w:rsidRDefault="00B15C25" w:rsidP="00B15C25">
            <w:pPr>
              <w:widowControl/>
              <w:rPr>
                <w:rFonts w:ascii="Calibri" w:eastAsia="Times New Roman" w:hAnsi="Calibri" w:cs="Calibri"/>
                <w:color w:val="000000"/>
                <w:kern w:val="0"/>
                <w:sz w:val="22"/>
                <w:szCs w:val="22"/>
              </w:rPr>
            </w:pPr>
            <w:r w:rsidRPr="00B15C25">
              <w:rPr>
                <w:rFonts w:ascii="Calibri" w:eastAsia="Times New Roman" w:hAnsi="Calibri" w:cs="Calibri"/>
                <w:color w:val="000000"/>
                <w:kern w:val="0"/>
                <w:sz w:val="22"/>
                <w:szCs w:val="22"/>
              </w:rPr>
              <w:t>Enhanced / Ongoing Due Diligence for high risk clients:</w:t>
            </w:r>
          </w:p>
        </w:tc>
      </w:tr>
      <w:tr w:rsidR="00B15C25" w:rsidRPr="00B15C25" w:rsidTr="00B15C25">
        <w:trPr>
          <w:trHeight w:val="300"/>
        </w:trPr>
        <w:tc>
          <w:tcPr>
            <w:tcW w:w="437" w:type="dxa"/>
            <w:tcBorders>
              <w:top w:val="nil"/>
              <w:left w:val="nil"/>
              <w:bottom w:val="nil"/>
              <w:right w:val="nil"/>
            </w:tcBorders>
            <w:shd w:val="clear" w:color="auto" w:fill="auto"/>
            <w:noWrap/>
            <w:vAlign w:val="center"/>
            <w:hideMark/>
          </w:tcPr>
          <w:p w:rsidR="00B15C25" w:rsidRPr="00B15C25" w:rsidRDefault="00B15C25" w:rsidP="00B15C25">
            <w:pPr>
              <w:widowControl/>
              <w:rPr>
                <w:rFonts w:ascii="Calibri" w:eastAsia="Times New Roman" w:hAnsi="Calibri" w:cs="Calibri"/>
                <w:color w:val="000000"/>
                <w:kern w:val="0"/>
                <w:sz w:val="22"/>
                <w:szCs w:val="22"/>
              </w:rPr>
            </w:pPr>
            <w:r w:rsidRPr="00B15C25">
              <w:rPr>
                <w:rFonts w:ascii="Calibri" w:eastAsia="Times New Roman" w:hAnsi="Calibri" w:cs="Calibri"/>
                <w:color w:val="000000"/>
                <w:kern w:val="0"/>
                <w:sz w:val="22"/>
                <w:szCs w:val="22"/>
              </w:rPr>
              <w:t xml:space="preserve">High </w:t>
            </w:r>
          </w:p>
        </w:tc>
        <w:tc>
          <w:tcPr>
            <w:tcW w:w="5408" w:type="dxa"/>
            <w:tcBorders>
              <w:top w:val="nil"/>
              <w:left w:val="nil"/>
              <w:bottom w:val="nil"/>
              <w:right w:val="nil"/>
            </w:tcBorders>
            <w:shd w:val="clear" w:color="auto" w:fill="auto"/>
            <w:noWrap/>
            <w:vAlign w:val="center"/>
            <w:hideMark/>
          </w:tcPr>
          <w:p w:rsidR="00B15C25" w:rsidRPr="00B15C25" w:rsidRDefault="00B15C25" w:rsidP="00B15C25">
            <w:pPr>
              <w:widowControl/>
              <w:rPr>
                <w:rFonts w:ascii="Calibri" w:eastAsia="Times New Roman" w:hAnsi="Calibri" w:cs="Calibri"/>
                <w:color w:val="000000"/>
                <w:kern w:val="0"/>
                <w:sz w:val="22"/>
                <w:szCs w:val="22"/>
              </w:rPr>
            </w:pPr>
            <w:r w:rsidRPr="00B15C25">
              <w:rPr>
                <w:rFonts w:ascii="Calibri" w:eastAsia="Times New Roman" w:hAnsi="Calibri" w:cs="Calibri"/>
                <w:color w:val="000000"/>
                <w:kern w:val="0"/>
                <w:sz w:val="22"/>
                <w:szCs w:val="22"/>
              </w:rPr>
              <w:t>A) Account opening needs approval from Managing Director</w:t>
            </w:r>
          </w:p>
        </w:tc>
      </w:tr>
      <w:tr w:rsidR="00B15C25" w:rsidRPr="00B15C25" w:rsidTr="00B15C25">
        <w:trPr>
          <w:trHeight w:val="300"/>
        </w:trPr>
        <w:tc>
          <w:tcPr>
            <w:tcW w:w="437" w:type="dxa"/>
            <w:tcBorders>
              <w:top w:val="nil"/>
              <w:left w:val="nil"/>
              <w:bottom w:val="nil"/>
              <w:right w:val="nil"/>
            </w:tcBorders>
            <w:shd w:val="clear" w:color="auto" w:fill="auto"/>
            <w:noWrap/>
            <w:vAlign w:val="center"/>
            <w:hideMark/>
          </w:tcPr>
          <w:p w:rsidR="00B15C25" w:rsidRPr="00B15C25" w:rsidRDefault="00B15C25" w:rsidP="00B15C25">
            <w:pPr>
              <w:widowControl/>
              <w:rPr>
                <w:rFonts w:ascii="Calibri" w:eastAsia="Times New Roman" w:hAnsi="Calibri" w:cs="Calibri"/>
                <w:color w:val="000000"/>
                <w:kern w:val="0"/>
                <w:sz w:val="22"/>
                <w:szCs w:val="22"/>
              </w:rPr>
            </w:pPr>
          </w:p>
        </w:tc>
        <w:tc>
          <w:tcPr>
            <w:tcW w:w="5408" w:type="dxa"/>
            <w:tcBorders>
              <w:top w:val="nil"/>
              <w:left w:val="nil"/>
              <w:bottom w:val="nil"/>
              <w:right w:val="nil"/>
            </w:tcBorders>
            <w:shd w:val="clear" w:color="auto" w:fill="auto"/>
            <w:noWrap/>
            <w:vAlign w:val="center"/>
            <w:hideMark/>
          </w:tcPr>
          <w:p w:rsidR="00B15C25" w:rsidRPr="00B15C25" w:rsidRDefault="00B15C25" w:rsidP="00B15C25">
            <w:pPr>
              <w:widowControl/>
              <w:rPr>
                <w:rFonts w:ascii="Calibri" w:eastAsia="Times New Roman" w:hAnsi="Calibri" w:cs="Calibri"/>
                <w:color w:val="000000"/>
                <w:kern w:val="0"/>
                <w:sz w:val="22"/>
                <w:szCs w:val="22"/>
              </w:rPr>
            </w:pPr>
            <w:r w:rsidRPr="00B15C25">
              <w:rPr>
                <w:rFonts w:ascii="Calibri" w:eastAsia="Times New Roman" w:hAnsi="Calibri" w:cs="Calibri"/>
                <w:color w:val="000000"/>
                <w:kern w:val="0"/>
                <w:sz w:val="22"/>
                <w:szCs w:val="22"/>
              </w:rPr>
              <w:t>B) Daily trade statement needs CS manager review</w:t>
            </w:r>
          </w:p>
        </w:tc>
      </w:tr>
      <w:tr w:rsidR="00B15C25" w:rsidRPr="00B15C25" w:rsidTr="00B15C25">
        <w:trPr>
          <w:trHeight w:val="300"/>
        </w:trPr>
        <w:tc>
          <w:tcPr>
            <w:tcW w:w="437" w:type="dxa"/>
            <w:tcBorders>
              <w:top w:val="nil"/>
              <w:left w:val="nil"/>
              <w:bottom w:val="nil"/>
              <w:right w:val="nil"/>
            </w:tcBorders>
            <w:shd w:val="clear" w:color="auto" w:fill="auto"/>
            <w:noWrap/>
            <w:vAlign w:val="center"/>
            <w:hideMark/>
          </w:tcPr>
          <w:p w:rsidR="00B15C25" w:rsidRPr="00B15C25" w:rsidRDefault="00B15C25" w:rsidP="00B15C25">
            <w:pPr>
              <w:widowControl/>
              <w:rPr>
                <w:rFonts w:ascii="Calibri" w:eastAsia="Times New Roman" w:hAnsi="Calibri" w:cs="Calibri"/>
                <w:color w:val="000000"/>
                <w:kern w:val="0"/>
                <w:sz w:val="22"/>
                <w:szCs w:val="22"/>
              </w:rPr>
            </w:pPr>
          </w:p>
        </w:tc>
        <w:tc>
          <w:tcPr>
            <w:tcW w:w="5408" w:type="dxa"/>
            <w:tcBorders>
              <w:top w:val="nil"/>
              <w:left w:val="nil"/>
              <w:bottom w:val="nil"/>
              <w:right w:val="nil"/>
            </w:tcBorders>
            <w:shd w:val="clear" w:color="auto" w:fill="auto"/>
            <w:noWrap/>
            <w:vAlign w:val="center"/>
            <w:hideMark/>
          </w:tcPr>
          <w:p w:rsidR="00B15C25" w:rsidRPr="00B15C25" w:rsidRDefault="00B15C25" w:rsidP="00B15C25">
            <w:pPr>
              <w:widowControl/>
              <w:rPr>
                <w:rFonts w:ascii="Calibri" w:eastAsia="Times New Roman" w:hAnsi="Calibri" w:cs="Calibri"/>
                <w:color w:val="000000"/>
                <w:kern w:val="0"/>
                <w:sz w:val="22"/>
                <w:szCs w:val="22"/>
              </w:rPr>
            </w:pPr>
            <w:r w:rsidRPr="00B15C25">
              <w:rPr>
                <w:rFonts w:ascii="Calibri" w:eastAsia="Times New Roman" w:hAnsi="Calibri" w:cs="Calibri"/>
                <w:color w:val="000000"/>
                <w:kern w:val="0"/>
                <w:sz w:val="22"/>
                <w:szCs w:val="22"/>
              </w:rPr>
              <w:t>C) Large fund in/out compliance review</w:t>
            </w:r>
          </w:p>
        </w:tc>
      </w:tr>
    </w:tbl>
    <w:p w:rsidR="00B15C25" w:rsidRDefault="00B15C25" w:rsidP="005D67D6">
      <w:pPr>
        <w:rPr>
          <w:rFonts w:ascii="Calibri" w:hAnsi="Calibri" w:cs="Calibri"/>
          <w:sz w:val="24"/>
          <w:szCs w:val="24"/>
        </w:rPr>
      </w:pPr>
    </w:p>
    <w:p w:rsidR="00DE0558" w:rsidRDefault="00DE0558" w:rsidP="005D67D6">
      <w:pPr>
        <w:rPr>
          <w:rFonts w:ascii="Calibri" w:hAnsi="Calibri" w:cs="Calibri"/>
          <w:sz w:val="24"/>
          <w:szCs w:val="24"/>
        </w:rPr>
      </w:pPr>
    </w:p>
    <w:p w:rsidR="00DE0558" w:rsidRDefault="00DE0558" w:rsidP="005D67D6">
      <w:pPr>
        <w:rPr>
          <w:rFonts w:ascii="Calibri" w:hAnsi="Calibri" w:cs="Calibri"/>
          <w:sz w:val="24"/>
          <w:szCs w:val="24"/>
        </w:rPr>
      </w:pPr>
    </w:p>
    <w:p w:rsidR="00DE0558" w:rsidRDefault="00DE0558" w:rsidP="005D67D6">
      <w:pPr>
        <w:rPr>
          <w:rFonts w:ascii="Calibri" w:hAnsi="Calibri" w:cs="Calibri"/>
          <w:sz w:val="24"/>
          <w:szCs w:val="24"/>
        </w:rPr>
      </w:pPr>
    </w:p>
    <w:p w:rsidR="00DE0558" w:rsidRDefault="00DE0558" w:rsidP="005D67D6">
      <w:pPr>
        <w:rPr>
          <w:rFonts w:ascii="Calibri" w:hAnsi="Calibri" w:cs="Calibri"/>
          <w:sz w:val="24"/>
          <w:szCs w:val="24"/>
        </w:rPr>
      </w:pPr>
    </w:p>
    <w:p w:rsidR="00DE0558" w:rsidRDefault="00DE0558" w:rsidP="005D67D6">
      <w:pPr>
        <w:rPr>
          <w:rFonts w:ascii="Calibri" w:hAnsi="Calibri" w:cs="Calibri"/>
          <w:sz w:val="24"/>
          <w:szCs w:val="24"/>
        </w:rPr>
      </w:pPr>
    </w:p>
    <w:p w:rsidR="00DE0558" w:rsidRDefault="00DE0558" w:rsidP="005D67D6">
      <w:pPr>
        <w:rPr>
          <w:rFonts w:ascii="Calibri" w:hAnsi="Calibri" w:cs="Calibri"/>
          <w:sz w:val="24"/>
          <w:szCs w:val="24"/>
        </w:rPr>
      </w:pPr>
    </w:p>
    <w:p w:rsidR="00DE0558" w:rsidRDefault="00DE0558" w:rsidP="005D67D6">
      <w:pPr>
        <w:rPr>
          <w:rFonts w:ascii="Calibri" w:hAnsi="Calibri" w:cs="Calibri"/>
          <w:sz w:val="24"/>
          <w:szCs w:val="24"/>
        </w:rPr>
      </w:pPr>
    </w:p>
    <w:p w:rsidR="00DE0558" w:rsidRDefault="00DE0558" w:rsidP="005D67D6">
      <w:pPr>
        <w:rPr>
          <w:rFonts w:ascii="Calibri" w:hAnsi="Calibri" w:cs="Calibri"/>
          <w:sz w:val="24"/>
          <w:szCs w:val="24"/>
        </w:rPr>
      </w:pPr>
      <w:r>
        <w:rPr>
          <w:rFonts w:ascii="Calibri" w:hAnsi="Calibri" w:cs="Calibri"/>
          <w:sz w:val="24"/>
          <w:szCs w:val="24"/>
        </w:rPr>
        <w:t xml:space="preserve">Name </w:t>
      </w:r>
      <w:r w:rsidRPr="00DE0558">
        <w:rPr>
          <w:rFonts w:ascii="Calibri" w:eastAsia="Times New Roman" w:hAnsi="Calibri" w:cs="Calibri"/>
          <w:color w:val="000000"/>
          <w:kern w:val="0"/>
          <w:sz w:val="22"/>
          <w:szCs w:val="22"/>
        </w:rPr>
        <w:t xml:space="preserve">screening - </w:t>
      </w:r>
      <w:r w:rsidRPr="00DE0558">
        <w:rPr>
          <w:rFonts w:ascii="Calibri" w:eastAsia="Times New Roman" w:hAnsi="Calibri" w:cs="Calibri"/>
          <w:color w:val="000000"/>
          <w:kern w:val="0"/>
          <w:sz w:val="22"/>
          <w:szCs w:val="22"/>
        </w:rPr>
        <w:t>Risk Coverage</w:t>
      </w:r>
    </w:p>
    <w:p w:rsidR="00DE0558" w:rsidRDefault="00DE0558" w:rsidP="005D67D6">
      <w:pPr>
        <w:rPr>
          <w:rFonts w:ascii="Calibri" w:hAnsi="Calibri" w:cs="Calibri"/>
          <w:sz w:val="24"/>
          <w:szCs w:val="24"/>
        </w:rPr>
      </w:pPr>
    </w:p>
    <w:p w:rsidR="00DE0558" w:rsidRPr="00DE0558" w:rsidRDefault="00DE0558" w:rsidP="00DE0558">
      <w:pPr>
        <w:pStyle w:val="ListParagraph"/>
        <w:numPr>
          <w:ilvl w:val="0"/>
          <w:numId w:val="2"/>
        </w:numPr>
        <w:rPr>
          <w:rFonts w:ascii="Calibri" w:eastAsia="Times New Roman" w:hAnsi="Calibri" w:cs="Calibri"/>
          <w:color w:val="000000"/>
          <w:kern w:val="0"/>
          <w:sz w:val="22"/>
          <w:szCs w:val="22"/>
        </w:rPr>
      </w:pPr>
      <w:r w:rsidRPr="00DE0558">
        <w:rPr>
          <w:rFonts w:ascii="Calibri" w:eastAsia="Times New Roman" w:hAnsi="Calibri" w:cs="Calibri"/>
          <w:color w:val="000000"/>
          <w:kern w:val="0"/>
          <w:sz w:val="22"/>
          <w:szCs w:val="22"/>
        </w:rPr>
        <w:t>Arms Trafficking &amp; WMD</w:t>
      </w:r>
      <w:r w:rsidRPr="00DE0558">
        <w:rPr>
          <w:rFonts w:ascii="Calibri" w:eastAsia="Times New Roman" w:hAnsi="Calibri" w:cs="Calibri"/>
          <w:color w:val="000000"/>
          <w:kern w:val="0"/>
          <w:sz w:val="22"/>
          <w:szCs w:val="22"/>
        </w:rPr>
        <w:t xml:space="preserve"> </w:t>
      </w:r>
      <w:r w:rsidRPr="00DE0558">
        <w:rPr>
          <w:rFonts w:ascii="Microsoft JhengHei" w:eastAsia="Microsoft JhengHei" w:hAnsi="Microsoft JhengHei" w:cs="Microsoft JhengHei" w:hint="eastAsia"/>
          <w:color w:val="000000"/>
          <w:kern w:val="0"/>
          <w:sz w:val="22"/>
          <w:szCs w:val="22"/>
        </w:rPr>
        <w:t>販賣軍火和大規模殺傷性武器</w:t>
      </w:r>
    </w:p>
    <w:p w:rsidR="00DE0558" w:rsidRPr="00DE0558" w:rsidRDefault="00DE0558" w:rsidP="00DE0558">
      <w:pPr>
        <w:pStyle w:val="ListParagraph"/>
        <w:numPr>
          <w:ilvl w:val="0"/>
          <w:numId w:val="2"/>
        </w:numPr>
        <w:rPr>
          <w:rFonts w:ascii="Calibri" w:eastAsia="Times New Roman" w:hAnsi="Calibri" w:cs="Calibri"/>
          <w:color w:val="000000"/>
          <w:kern w:val="0"/>
          <w:sz w:val="22"/>
          <w:szCs w:val="22"/>
        </w:rPr>
      </w:pPr>
      <w:r w:rsidRPr="00DE0558">
        <w:rPr>
          <w:rFonts w:ascii="Calibri" w:eastAsia="Times New Roman" w:hAnsi="Calibri" w:cs="Calibri"/>
          <w:color w:val="000000"/>
          <w:kern w:val="0"/>
          <w:sz w:val="22"/>
          <w:szCs w:val="22"/>
        </w:rPr>
        <w:t>Drug Trafficking</w:t>
      </w:r>
    </w:p>
    <w:p w:rsidR="00DE0558" w:rsidRPr="00DE0558" w:rsidRDefault="00DE0558" w:rsidP="00DE0558">
      <w:pPr>
        <w:pStyle w:val="ListParagraph"/>
        <w:numPr>
          <w:ilvl w:val="0"/>
          <w:numId w:val="2"/>
        </w:numPr>
        <w:rPr>
          <w:rFonts w:ascii="Calibri" w:eastAsia="Times New Roman" w:hAnsi="Calibri" w:cs="Calibri"/>
          <w:color w:val="000000"/>
          <w:kern w:val="0"/>
          <w:sz w:val="22"/>
          <w:szCs w:val="22"/>
        </w:rPr>
      </w:pPr>
      <w:r w:rsidRPr="00DE0558">
        <w:rPr>
          <w:rFonts w:ascii="Calibri" w:eastAsia="Times New Roman" w:hAnsi="Calibri" w:cs="Calibri"/>
          <w:color w:val="000000"/>
          <w:kern w:val="0"/>
          <w:sz w:val="22"/>
          <w:szCs w:val="22"/>
        </w:rPr>
        <w:t>Enforcement</w:t>
      </w:r>
    </w:p>
    <w:p w:rsidR="00DE0558" w:rsidRPr="00DE0558" w:rsidRDefault="00DE0558" w:rsidP="00DE0558">
      <w:pPr>
        <w:pStyle w:val="ListParagraph"/>
        <w:numPr>
          <w:ilvl w:val="0"/>
          <w:numId w:val="2"/>
        </w:numPr>
        <w:rPr>
          <w:rFonts w:ascii="Calibri" w:eastAsia="Times New Roman" w:hAnsi="Calibri" w:cs="Calibri"/>
          <w:color w:val="000000"/>
          <w:kern w:val="0"/>
          <w:sz w:val="22"/>
          <w:szCs w:val="22"/>
        </w:rPr>
      </w:pPr>
      <w:r w:rsidRPr="00DE0558">
        <w:rPr>
          <w:rFonts w:ascii="Calibri" w:eastAsia="Times New Roman" w:hAnsi="Calibri" w:cs="Calibri"/>
          <w:color w:val="000000"/>
          <w:kern w:val="0"/>
          <w:sz w:val="22"/>
          <w:szCs w:val="22"/>
        </w:rPr>
        <w:t>Fraud</w:t>
      </w:r>
    </w:p>
    <w:p w:rsidR="00DE0558" w:rsidRPr="00DE0558" w:rsidRDefault="00DE0558" w:rsidP="00DE0558">
      <w:pPr>
        <w:pStyle w:val="ListParagraph"/>
        <w:numPr>
          <w:ilvl w:val="0"/>
          <w:numId w:val="2"/>
        </w:numPr>
        <w:rPr>
          <w:rFonts w:ascii="Calibri" w:eastAsia="Times New Roman" w:hAnsi="Calibri" w:cs="Calibri"/>
          <w:color w:val="000000"/>
          <w:kern w:val="0"/>
          <w:sz w:val="22"/>
          <w:szCs w:val="22"/>
        </w:rPr>
      </w:pPr>
      <w:r w:rsidRPr="00DE0558">
        <w:rPr>
          <w:rFonts w:ascii="Calibri" w:eastAsia="Times New Roman" w:hAnsi="Calibri" w:cs="Calibri"/>
          <w:color w:val="000000"/>
          <w:kern w:val="0"/>
          <w:sz w:val="22"/>
          <w:szCs w:val="22"/>
        </w:rPr>
        <w:t>Global Sanction List</w:t>
      </w:r>
    </w:p>
    <w:p w:rsidR="00DE0558" w:rsidRPr="00DE0558" w:rsidRDefault="00DE0558" w:rsidP="00DE0558">
      <w:pPr>
        <w:pStyle w:val="ListParagraph"/>
        <w:numPr>
          <w:ilvl w:val="0"/>
          <w:numId w:val="2"/>
        </w:numPr>
        <w:rPr>
          <w:rFonts w:ascii="Calibri" w:eastAsia="Times New Roman" w:hAnsi="Calibri" w:cs="Calibri"/>
          <w:color w:val="000000"/>
          <w:kern w:val="0"/>
          <w:sz w:val="22"/>
          <w:szCs w:val="22"/>
        </w:rPr>
      </w:pPr>
      <w:r w:rsidRPr="00DE0558">
        <w:rPr>
          <w:rFonts w:ascii="Calibri" w:eastAsia="Times New Roman" w:hAnsi="Calibri" w:cs="Calibri"/>
          <w:color w:val="000000"/>
          <w:kern w:val="0"/>
          <w:sz w:val="22"/>
          <w:szCs w:val="22"/>
        </w:rPr>
        <w:t>Money Laundering</w:t>
      </w:r>
    </w:p>
    <w:p w:rsidR="00DE0558" w:rsidRPr="00DE0558" w:rsidRDefault="00DE0558" w:rsidP="00DE0558">
      <w:pPr>
        <w:pStyle w:val="ListParagraph"/>
        <w:numPr>
          <w:ilvl w:val="0"/>
          <w:numId w:val="2"/>
        </w:numPr>
        <w:rPr>
          <w:rFonts w:ascii="Calibri" w:eastAsia="Times New Roman" w:hAnsi="Calibri" w:cs="Calibri"/>
          <w:color w:val="000000"/>
          <w:kern w:val="0"/>
          <w:sz w:val="22"/>
          <w:szCs w:val="22"/>
        </w:rPr>
      </w:pPr>
      <w:r w:rsidRPr="00DE0558">
        <w:rPr>
          <w:rFonts w:ascii="Calibri" w:eastAsia="Times New Roman" w:hAnsi="Calibri" w:cs="Calibri"/>
          <w:color w:val="000000"/>
          <w:kern w:val="0"/>
          <w:sz w:val="22"/>
          <w:szCs w:val="22"/>
        </w:rPr>
        <w:t>PEP</w:t>
      </w:r>
    </w:p>
    <w:p w:rsidR="00DE0558" w:rsidRPr="00DE0558" w:rsidRDefault="00DE0558" w:rsidP="00DE0558">
      <w:pPr>
        <w:pStyle w:val="ListParagraph"/>
        <w:numPr>
          <w:ilvl w:val="0"/>
          <w:numId w:val="2"/>
        </w:numPr>
        <w:rPr>
          <w:rFonts w:ascii="Calibri" w:eastAsia="Times New Roman" w:hAnsi="Calibri" w:cs="Calibri"/>
          <w:color w:val="000000"/>
          <w:kern w:val="0"/>
          <w:sz w:val="22"/>
          <w:szCs w:val="22"/>
        </w:rPr>
      </w:pPr>
      <w:r w:rsidRPr="00DE0558">
        <w:rPr>
          <w:rFonts w:ascii="Calibri" w:eastAsia="Times New Roman" w:hAnsi="Calibri" w:cs="Calibri"/>
          <w:color w:val="000000"/>
          <w:kern w:val="0"/>
          <w:sz w:val="22"/>
          <w:szCs w:val="22"/>
        </w:rPr>
        <w:t>Terrorism</w:t>
      </w:r>
    </w:p>
    <w:p w:rsidR="00DE0558" w:rsidRPr="00DE0558" w:rsidRDefault="00DE0558" w:rsidP="00DE0558">
      <w:pPr>
        <w:pStyle w:val="ListParagraph"/>
        <w:numPr>
          <w:ilvl w:val="0"/>
          <w:numId w:val="2"/>
        </w:numPr>
        <w:rPr>
          <w:rFonts w:ascii="Calibri" w:eastAsia="Times New Roman" w:hAnsi="Calibri" w:cs="Calibri"/>
          <w:color w:val="000000"/>
          <w:kern w:val="0"/>
          <w:sz w:val="22"/>
          <w:szCs w:val="22"/>
        </w:rPr>
      </w:pPr>
      <w:r w:rsidRPr="00DE0558">
        <w:rPr>
          <w:rFonts w:ascii="Calibri" w:eastAsia="Times New Roman" w:hAnsi="Calibri" w:cs="Calibri"/>
          <w:color w:val="000000"/>
          <w:kern w:val="0"/>
          <w:sz w:val="22"/>
          <w:szCs w:val="22"/>
        </w:rPr>
        <w:t>Wanted Individuals</w:t>
      </w:r>
      <w:r w:rsidRPr="00DE0558">
        <w:rPr>
          <w:rFonts w:ascii="Calibri" w:eastAsia="Times New Roman" w:hAnsi="Calibri" w:cs="Calibri"/>
          <w:color w:val="000000"/>
          <w:kern w:val="0"/>
          <w:sz w:val="22"/>
          <w:szCs w:val="22"/>
        </w:rPr>
        <w:t xml:space="preserve"> </w:t>
      </w:r>
      <w:r w:rsidRPr="00DE0558">
        <w:rPr>
          <w:rFonts w:ascii="Microsoft JhengHei" w:eastAsia="Microsoft JhengHei" w:hAnsi="Microsoft JhengHei" w:cs="Microsoft JhengHei" w:hint="eastAsia"/>
          <w:color w:val="000000"/>
          <w:kern w:val="0"/>
          <w:sz w:val="22"/>
          <w:szCs w:val="22"/>
        </w:rPr>
        <w:t>通緝犯</w:t>
      </w:r>
    </w:p>
    <w:p w:rsidR="00DE0558" w:rsidRPr="00DE0558" w:rsidRDefault="00DE0558" w:rsidP="005D67D6">
      <w:pPr>
        <w:rPr>
          <w:rFonts w:ascii="Calibri" w:eastAsia="Times New Roman" w:hAnsi="Calibri" w:cs="Calibri"/>
          <w:color w:val="000000"/>
          <w:kern w:val="0"/>
          <w:sz w:val="22"/>
          <w:szCs w:val="22"/>
        </w:rPr>
      </w:pPr>
    </w:p>
    <w:p w:rsidR="00DE0558" w:rsidRPr="00DE0558" w:rsidRDefault="00DE0558" w:rsidP="005D67D6">
      <w:pPr>
        <w:rPr>
          <w:rFonts w:ascii="Calibri" w:eastAsia="Times New Roman" w:hAnsi="Calibri" w:cs="Calibri"/>
          <w:color w:val="000000"/>
          <w:kern w:val="0"/>
          <w:sz w:val="22"/>
          <w:szCs w:val="22"/>
        </w:rPr>
      </w:pPr>
      <w:r w:rsidRPr="00DE0558">
        <w:rPr>
          <w:rFonts w:ascii="Calibri" w:eastAsia="Times New Roman" w:hAnsi="Calibri" w:cs="Calibri"/>
          <w:color w:val="000000"/>
          <w:kern w:val="0"/>
          <w:sz w:val="22"/>
          <w:szCs w:val="22"/>
        </w:rPr>
        <w:t>Source:</w:t>
      </w:r>
    </w:p>
    <w:p w:rsidR="00DE0558" w:rsidRPr="00DE0558" w:rsidRDefault="00DE0558" w:rsidP="00DE0558">
      <w:pPr>
        <w:pStyle w:val="ListParagraph"/>
        <w:numPr>
          <w:ilvl w:val="0"/>
          <w:numId w:val="3"/>
        </w:numPr>
        <w:rPr>
          <w:rFonts w:ascii="Calibri" w:eastAsia="Times New Roman" w:hAnsi="Calibri" w:cs="Calibri"/>
          <w:color w:val="000000"/>
          <w:kern w:val="0"/>
          <w:sz w:val="22"/>
          <w:szCs w:val="22"/>
        </w:rPr>
      </w:pPr>
      <w:r w:rsidRPr="00DE0558">
        <w:rPr>
          <w:rFonts w:ascii="Calibri" w:eastAsia="Times New Roman" w:hAnsi="Calibri" w:cs="Calibri"/>
          <w:color w:val="000000"/>
          <w:kern w:val="0"/>
          <w:sz w:val="22"/>
          <w:szCs w:val="22"/>
        </w:rPr>
        <w:t>Courts</w:t>
      </w:r>
    </w:p>
    <w:p w:rsidR="00DE0558" w:rsidRPr="00DE0558" w:rsidRDefault="00DE0558" w:rsidP="00DE0558">
      <w:pPr>
        <w:pStyle w:val="ListParagraph"/>
        <w:numPr>
          <w:ilvl w:val="0"/>
          <w:numId w:val="3"/>
        </w:numPr>
        <w:rPr>
          <w:rFonts w:ascii="Calibri" w:eastAsia="Times New Roman" w:hAnsi="Calibri" w:cs="Calibri"/>
          <w:color w:val="000000"/>
          <w:kern w:val="0"/>
          <w:sz w:val="22"/>
          <w:szCs w:val="22"/>
        </w:rPr>
      </w:pPr>
      <w:r w:rsidRPr="00DE0558">
        <w:rPr>
          <w:rFonts w:ascii="Calibri" w:eastAsia="Times New Roman" w:hAnsi="Calibri" w:cs="Calibri"/>
          <w:color w:val="000000"/>
          <w:kern w:val="0"/>
          <w:sz w:val="22"/>
          <w:szCs w:val="22"/>
        </w:rPr>
        <w:t>Adverse Media</w:t>
      </w:r>
      <w:r w:rsidRPr="00DE0558">
        <w:rPr>
          <w:rFonts w:ascii="Calibri" w:eastAsia="Times New Roman" w:hAnsi="Calibri" w:cs="Calibri"/>
          <w:color w:val="000000"/>
          <w:kern w:val="0"/>
          <w:sz w:val="22"/>
          <w:szCs w:val="22"/>
        </w:rPr>
        <w:t xml:space="preserve"> - </w:t>
      </w:r>
      <w:r w:rsidRPr="00DE0558">
        <w:rPr>
          <w:rFonts w:ascii="Calibri" w:eastAsia="Times New Roman" w:hAnsi="Calibri" w:cs="Calibri"/>
          <w:color w:val="000000"/>
          <w:kern w:val="0"/>
          <w:sz w:val="22"/>
          <w:szCs w:val="22"/>
        </w:rPr>
        <w:t>news sources</w:t>
      </w:r>
    </w:p>
    <w:p w:rsidR="00DE0558" w:rsidRPr="00DE0558" w:rsidRDefault="00DE0558" w:rsidP="00DE0558">
      <w:pPr>
        <w:pStyle w:val="ListParagraph"/>
        <w:numPr>
          <w:ilvl w:val="0"/>
          <w:numId w:val="3"/>
        </w:numPr>
        <w:rPr>
          <w:rFonts w:ascii="Calibri" w:eastAsia="Times New Roman" w:hAnsi="Calibri" w:cs="Calibri"/>
          <w:color w:val="000000"/>
          <w:kern w:val="0"/>
          <w:sz w:val="22"/>
          <w:szCs w:val="22"/>
        </w:rPr>
      </w:pPr>
      <w:r w:rsidRPr="00DE0558">
        <w:rPr>
          <w:rFonts w:ascii="Calibri" w:eastAsia="Times New Roman" w:hAnsi="Calibri" w:cs="Calibri"/>
          <w:color w:val="000000"/>
          <w:kern w:val="0"/>
          <w:sz w:val="22"/>
          <w:szCs w:val="22"/>
        </w:rPr>
        <w:t>Enforcement Lists</w:t>
      </w:r>
      <w:r w:rsidRPr="00DE0558">
        <w:rPr>
          <w:rFonts w:ascii="Calibri" w:eastAsia="Times New Roman" w:hAnsi="Calibri" w:cs="Calibri"/>
          <w:color w:val="000000"/>
          <w:kern w:val="0"/>
          <w:sz w:val="22"/>
          <w:szCs w:val="22"/>
        </w:rPr>
        <w:t xml:space="preserve"> - </w:t>
      </w:r>
      <w:r w:rsidRPr="00DE0558">
        <w:rPr>
          <w:rFonts w:ascii="Calibri" w:eastAsia="Times New Roman" w:hAnsi="Calibri" w:cs="Calibri"/>
          <w:color w:val="000000"/>
          <w:kern w:val="0"/>
          <w:sz w:val="22"/>
          <w:szCs w:val="22"/>
        </w:rPr>
        <w:t>financial enforcement agencies</w:t>
      </w:r>
    </w:p>
    <w:p w:rsidR="00DE0558" w:rsidRPr="00DE0558" w:rsidRDefault="00DE0558" w:rsidP="00DE0558">
      <w:pPr>
        <w:pStyle w:val="ListParagraph"/>
        <w:numPr>
          <w:ilvl w:val="0"/>
          <w:numId w:val="3"/>
        </w:numPr>
        <w:rPr>
          <w:rFonts w:ascii="Calibri" w:eastAsia="Times New Roman" w:hAnsi="Calibri" w:cs="Calibri"/>
          <w:color w:val="000000"/>
          <w:kern w:val="0"/>
          <w:sz w:val="22"/>
          <w:szCs w:val="22"/>
        </w:rPr>
      </w:pPr>
      <w:r w:rsidRPr="00DE0558">
        <w:rPr>
          <w:rFonts w:ascii="Calibri" w:eastAsia="Times New Roman" w:hAnsi="Calibri" w:cs="Calibri"/>
          <w:color w:val="000000"/>
          <w:kern w:val="0"/>
          <w:sz w:val="22"/>
          <w:szCs w:val="22"/>
        </w:rPr>
        <w:t>Watch Lists: Over 20 Embargo and caution lists (FBI, World Bank, Interpo</w:t>
      </w:r>
      <w:bookmarkStart w:id="0" w:name="_GoBack"/>
      <w:r w:rsidRPr="00DE0558">
        <w:rPr>
          <w:rFonts w:ascii="Calibri" w:eastAsia="Times New Roman" w:hAnsi="Calibri" w:cs="Calibri"/>
          <w:color w:val="000000"/>
          <w:kern w:val="0"/>
          <w:sz w:val="22"/>
          <w:szCs w:val="22"/>
        </w:rPr>
        <w:t>l</w:t>
      </w:r>
      <w:bookmarkEnd w:id="0"/>
      <w:r w:rsidRPr="00DE0558">
        <w:rPr>
          <w:rFonts w:ascii="Calibri" w:eastAsia="Times New Roman" w:hAnsi="Calibri" w:cs="Calibri"/>
          <w:color w:val="000000"/>
          <w:kern w:val="0"/>
          <w:sz w:val="22"/>
          <w:szCs w:val="22"/>
        </w:rPr>
        <w:t>, etc.)</w:t>
      </w:r>
    </w:p>
    <w:p w:rsidR="00DE0558" w:rsidRPr="00DE0558" w:rsidRDefault="00DE0558" w:rsidP="00DE0558">
      <w:pPr>
        <w:pStyle w:val="ListParagraph"/>
        <w:numPr>
          <w:ilvl w:val="0"/>
          <w:numId w:val="3"/>
        </w:numPr>
        <w:rPr>
          <w:rFonts w:ascii="Calibri" w:eastAsia="Times New Roman" w:hAnsi="Calibri" w:cs="Calibri"/>
          <w:color w:val="000000"/>
          <w:kern w:val="0"/>
          <w:sz w:val="22"/>
          <w:szCs w:val="22"/>
        </w:rPr>
      </w:pPr>
      <w:r w:rsidRPr="00DE0558">
        <w:rPr>
          <w:rFonts w:ascii="Calibri" w:eastAsia="Times New Roman" w:hAnsi="Calibri" w:cs="Calibri"/>
          <w:color w:val="000000"/>
          <w:kern w:val="0"/>
          <w:sz w:val="22"/>
          <w:szCs w:val="22"/>
        </w:rPr>
        <w:t>Sanction Lists: Real-time monitoring of all major sanction lists</w:t>
      </w:r>
    </w:p>
    <w:p w:rsidR="00DE0558" w:rsidRPr="00DE0558" w:rsidRDefault="00DE0558" w:rsidP="00DE0558">
      <w:pPr>
        <w:pStyle w:val="ListParagraph"/>
        <w:numPr>
          <w:ilvl w:val="0"/>
          <w:numId w:val="3"/>
        </w:numPr>
        <w:rPr>
          <w:rFonts w:ascii="Calibri" w:eastAsia="Times New Roman" w:hAnsi="Calibri" w:cs="Calibri"/>
          <w:color w:val="000000"/>
          <w:kern w:val="0"/>
          <w:sz w:val="22"/>
          <w:szCs w:val="22"/>
        </w:rPr>
      </w:pPr>
      <w:r w:rsidRPr="00DE0558">
        <w:rPr>
          <w:rFonts w:ascii="Calibri" w:eastAsia="Times New Roman" w:hAnsi="Calibri" w:cs="Calibri"/>
          <w:color w:val="000000"/>
          <w:kern w:val="0"/>
          <w:sz w:val="22"/>
          <w:szCs w:val="22"/>
        </w:rPr>
        <w:t>PEP List</w:t>
      </w:r>
    </w:p>
    <w:sectPr w:rsidR="00DE0558" w:rsidRPr="00DE055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8EC" w:rsidRDefault="004748EC" w:rsidP="004748EC">
      <w:r>
        <w:separator/>
      </w:r>
    </w:p>
  </w:endnote>
  <w:endnote w:type="continuationSeparator" w:id="0">
    <w:p w:rsidR="004748EC" w:rsidRDefault="004748EC" w:rsidP="00474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Noto Sans CJK SC Black">
    <w:altName w:val="Arial Unicode MS"/>
    <w:panose1 w:val="00000000000000000000"/>
    <w:charset w:val="80"/>
    <w:family w:val="swiss"/>
    <w:notTrueType/>
    <w:pitch w:val="variable"/>
    <w:sig w:usb0="00000000" w:usb1="2BDF3C10" w:usb2="00000016" w:usb3="00000000" w:csb0="002E0107"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8EC" w:rsidRDefault="004748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8EC" w:rsidRDefault="004748E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0f174ecd9f8b5f825ded98fb" descr="{&quot;HashCode&quot;:-13641641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4748EC" w:rsidRPr="004748EC" w:rsidRDefault="004748EC" w:rsidP="004748EC">
                          <w:pPr>
                            <w:rPr>
                              <w:rFonts w:ascii="Calibri" w:hAnsi="Calibri" w:cs="Calibri"/>
                              <w:color w:val="000000"/>
                            </w:rPr>
                          </w:pPr>
                          <w:r w:rsidRPr="004748EC">
                            <w:rPr>
                              <w:rFonts w:ascii="Calibri" w:hAnsi="Calibri" w:cs="Calibri"/>
                              <w:color w:val="000000"/>
                            </w:rPr>
                            <w:t>ADSS-Internal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f174ecd9f8b5f825ded98fb" o:spid="_x0000_s1026" type="#_x0000_t202" alt="{&quot;HashCode&quot;:-1364164124,&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KhL1B5tAwAASQcAAA4AAAAAAAAAAAAAAAAALgIAAGRycy9lMm9Eb2MueG1sUEsBAi0AFAAGAAgA&#10;AAAhALtA7THcAAAACwEAAA8AAAAAAAAAAAAAAAAAxwUAAGRycy9kb3ducmV2LnhtbFBLBQYAAAAA&#10;BAAEAPMAAADQBgAAAAA=&#10;" o:allowincell="f" filled="f" stroked="f" strokeweight=".5pt">
              <v:fill o:detectmouseclick="t"/>
              <v:textbox inset="20pt,0,,0">
                <w:txbxContent>
                  <w:p w:rsidR="004748EC" w:rsidRPr="004748EC" w:rsidRDefault="004748EC" w:rsidP="004748EC">
                    <w:pPr>
                      <w:rPr>
                        <w:rFonts w:ascii="Calibri" w:hAnsi="Calibri" w:cs="Calibri"/>
                        <w:color w:val="000000"/>
                      </w:rPr>
                    </w:pPr>
                    <w:r w:rsidRPr="004748EC">
                      <w:rPr>
                        <w:rFonts w:ascii="Calibri" w:hAnsi="Calibri" w:cs="Calibri"/>
                        <w:color w:val="000000"/>
                      </w:rPr>
                      <w:t>ADSS-Internal</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8EC" w:rsidRDefault="004748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8EC" w:rsidRDefault="004748EC" w:rsidP="004748EC">
      <w:r>
        <w:separator/>
      </w:r>
    </w:p>
  </w:footnote>
  <w:footnote w:type="continuationSeparator" w:id="0">
    <w:p w:rsidR="004748EC" w:rsidRDefault="004748EC" w:rsidP="004748EC">
      <w:r>
        <w:continuationSeparator/>
      </w:r>
    </w:p>
  </w:footnote>
  <w:footnote w:id="1">
    <w:p w:rsidR="004748EC" w:rsidRDefault="004748EC">
      <w:pPr>
        <w:pStyle w:val="FootnoteText"/>
      </w:pPr>
      <w:r>
        <w:rPr>
          <w:rStyle w:val="FootnoteReference"/>
        </w:rPr>
        <w:footnoteRef/>
      </w:r>
      <w:r>
        <w:t xml:space="preserve"> </w:t>
      </w:r>
      <w:r>
        <w:t>The word “significant” is not necessarily linked to monetary value. It may include transactions that are unusual or not in line with the AI’s knowledge of the customer.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8EC" w:rsidRDefault="004748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8EC" w:rsidRDefault="004748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8EC" w:rsidRDefault="004748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E376F7"/>
    <w:multiLevelType w:val="hybridMultilevel"/>
    <w:tmpl w:val="806E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6785C"/>
    <w:multiLevelType w:val="hybridMultilevel"/>
    <w:tmpl w:val="4A3C4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0E5226E"/>
    <w:multiLevelType w:val="hybridMultilevel"/>
    <w:tmpl w:val="2CF8B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8EC"/>
    <w:rsid w:val="003A55F3"/>
    <w:rsid w:val="004748EC"/>
    <w:rsid w:val="004A602A"/>
    <w:rsid w:val="005D67D6"/>
    <w:rsid w:val="00B15C25"/>
    <w:rsid w:val="00DE05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FDE0659-48DA-4CBD-A187-362A80A6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5F3"/>
    <w:pPr>
      <w:widowControl w:val="0"/>
      <w:spacing w:after="0" w:line="240" w:lineRule="auto"/>
    </w:pPr>
    <w:rPr>
      <w:kern w:val="2"/>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A55F3"/>
    <w:pPr>
      <w:tabs>
        <w:tab w:val="center" w:pos="4513"/>
        <w:tab w:val="right" w:pos="9026"/>
      </w:tabs>
      <w:snapToGrid w:val="0"/>
    </w:pPr>
    <w:rPr>
      <w:sz w:val="18"/>
    </w:rPr>
  </w:style>
  <w:style w:type="character" w:customStyle="1" w:styleId="FooterChar">
    <w:name w:val="Footer Char"/>
    <w:basedOn w:val="DefaultParagraphFont"/>
    <w:link w:val="Footer"/>
    <w:uiPriority w:val="99"/>
    <w:rsid w:val="003A55F3"/>
    <w:rPr>
      <w:kern w:val="2"/>
      <w:sz w:val="18"/>
      <w:szCs w:val="18"/>
    </w:rPr>
  </w:style>
  <w:style w:type="paragraph" w:styleId="Header">
    <w:name w:val="header"/>
    <w:basedOn w:val="Normal"/>
    <w:link w:val="HeaderChar"/>
    <w:uiPriority w:val="99"/>
    <w:unhideWhenUsed/>
    <w:rsid w:val="003A55F3"/>
    <w:pPr>
      <w:tabs>
        <w:tab w:val="center" w:pos="4513"/>
        <w:tab w:val="right" w:pos="9026"/>
      </w:tabs>
      <w:snapToGrid w:val="0"/>
    </w:pPr>
  </w:style>
  <w:style w:type="character" w:customStyle="1" w:styleId="HeaderChar">
    <w:name w:val="Header Char"/>
    <w:basedOn w:val="DefaultParagraphFont"/>
    <w:link w:val="Header"/>
    <w:uiPriority w:val="99"/>
    <w:rsid w:val="003A55F3"/>
    <w:rPr>
      <w:kern w:val="2"/>
      <w:sz w:val="20"/>
      <w:szCs w:val="18"/>
    </w:rPr>
  </w:style>
  <w:style w:type="paragraph" w:styleId="Title">
    <w:name w:val="Title"/>
    <w:basedOn w:val="Normal"/>
    <w:next w:val="Normal"/>
    <w:link w:val="TitleChar"/>
    <w:uiPriority w:val="10"/>
    <w:qFormat/>
    <w:rsid w:val="003A55F3"/>
    <w:pPr>
      <w:spacing w:before="240" w:after="240"/>
      <w:outlineLvl w:val="0"/>
    </w:pPr>
    <w:rPr>
      <w:rFonts w:asciiTheme="majorHAnsi" w:eastAsia="Noto Sans CJK SC Black" w:hAnsiTheme="majorHAnsi" w:cstheme="majorBidi"/>
      <w:b/>
      <w:bCs/>
      <w:sz w:val="28"/>
      <w:szCs w:val="28"/>
    </w:rPr>
  </w:style>
  <w:style w:type="character" w:customStyle="1" w:styleId="TitleChar">
    <w:name w:val="Title Char"/>
    <w:basedOn w:val="DefaultParagraphFont"/>
    <w:link w:val="Title"/>
    <w:uiPriority w:val="10"/>
    <w:rsid w:val="003A55F3"/>
    <w:rPr>
      <w:rFonts w:asciiTheme="majorHAnsi" w:eastAsia="Noto Sans CJK SC Black" w:hAnsiTheme="majorHAnsi" w:cstheme="majorBidi"/>
      <w:b/>
      <w:bCs/>
      <w:kern w:val="2"/>
      <w:sz w:val="28"/>
      <w:szCs w:val="28"/>
    </w:rPr>
  </w:style>
  <w:style w:type="paragraph" w:styleId="ListParagraph">
    <w:name w:val="List Paragraph"/>
    <w:basedOn w:val="Normal"/>
    <w:uiPriority w:val="34"/>
    <w:qFormat/>
    <w:rsid w:val="004748EC"/>
    <w:pPr>
      <w:ind w:left="720"/>
      <w:contextualSpacing/>
    </w:pPr>
  </w:style>
  <w:style w:type="paragraph" w:styleId="FootnoteText">
    <w:name w:val="footnote text"/>
    <w:basedOn w:val="Normal"/>
    <w:link w:val="FootnoteTextChar"/>
    <w:uiPriority w:val="99"/>
    <w:semiHidden/>
    <w:unhideWhenUsed/>
    <w:rsid w:val="004748EC"/>
    <w:rPr>
      <w:szCs w:val="20"/>
    </w:rPr>
  </w:style>
  <w:style w:type="character" w:customStyle="1" w:styleId="FootnoteTextChar">
    <w:name w:val="Footnote Text Char"/>
    <w:basedOn w:val="DefaultParagraphFont"/>
    <w:link w:val="FootnoteText"/>
    <w:uiPriority w:val="99"/>
    <w:semiHidden/>
    <w:rsid w:val="004748EC"/>
    <w:rPr>
      <w:kern w:val="2"/>
      <w:sz w:val="20"/>
      <w:szCs w:val="20"/>
    </w:rPr>
  </w:style>
  <w:style w:type="character" w:styleId="FootnoteReference">
    <w:name w:val="footnote reference"/>
    <w:basedOn w:val="DefaultParagraphFont"/>
    <w:uiPriority w:val="99"/>
    <w:semiHidden/>
    <w:unhideWhenUsed/>
    <w:rsid w:val="004748EC"/>
    <w:rPr>
      <w:vertAlign w:val="superscript"/>
    </w:rPr>
  </w:style>
  <w:style w:type="character" w:styleId="Strong">
    <w:name w:val="Strong"/>
    <w:basedOn w:val="DefaultParagraphFont"/>
    <w:uiPriority w:val="22"/>
    <w:qFormat/>
    <w:rsid w:val="00DE05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30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4245E-0697-4474-9373-B867DF376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B18CDB55</Template>
  <TotalTime>130</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Tse</dc:creator>
  <cp:keywords/>
  <dc:description/>
  <cp:lastModifiedBy>Anson Tse</cp:lastModifiedBy>
  <cp:revision>1</cp:revision>
  <dcterms:created xsi:type="dcterms:W3CDTF">2020-01-03T06:46:00Z</dcterms:created>
  <dcterms:modified xsi:type="dcterms:W3CDTF">2020-01-03T08:56:00Z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efc2a6-f9ee-4728-868e-68ce84f9d36f_Enabled">
    <vt:lpwstr>True</vt:lpwstr>
  </property>
  <property fmtid="{D5CDD505-2E9C-101B-9397-08002B2CF9AE}" pid="3" name="MSIP_Label_ffefc2a6-f9ee-4728-868e-68ce84f9d36f_SiteId">
    <vt:lpwstr>de5f6a02-01e2-4529-a226-79e03d3d931f</vt:lpwstr>
  </property>
  <property fmtid="{D5CDD505-2E9C-101B-9397-08002B2CF9AE}" pid="4" name="MSIP_Label_ffefc2a6-f9ee-4728-868e-68ce84f9d36f_Owner">
    <vt:lpwstr>ATS.FRT@adss.com</vt:lpwstr>
  </property>
  <property fmtid="{D5CDD505-2E9C-101B-9397-08002B2CF9AE}" pid="5" name="MSIP_Label_ffefc2a6-f9ee-4728-868e-68ce84f9d36f_SetDate">
    <vt:lpwstr>2020-01-03T06:46:59.6482031Z</vt:lpwstr>
  </property>
  <property fmtid="{D5CDD505-2E9C-101B-9397-08002B2CF9AE}" pid="6" name="MSIP_Label_ffefc2a6-f9ee-4728-868e-68ce84f9d36f_Name">
    <vt:lpwstr>Internal</vt:lpwstr>
  </property>
  <property fmtid="{D5CDD505-2E9C-101B-9397-08002B2CF9AE}" pid="7" name="MSIP_Label_ffefc2a6-f9ee-4728-868e-68ce84f9d36f_Application">
    <vt:lpwstr>Microsoft Azure Information Protection</vt:lpwstr>
  </property>
  <property fmtid="{D5CDD505-2E9C-101B-9397-08002B2CF9AE}" pid="8" name="MSIP_Label_ffefc2a6-f9ee-4728-868e-68ce84f9d36f_ActionId">
    <vt:lpwstr>b2db2660-14e5-4748-938d-c63c06fa35ef</vt:lpwstr>
  </property>
  <property fmtid="{D5CDD505-2E9C-101B-9397-08002B2CF9AE}" pid="9" name="MSIP_Label_ffefc2a6-f9ee-4728-868e-68ce84f9d36f_Extended_MSFT_Method">
    <vt:lpwstr>Manual</vt:lpwstr>
  </property>
  <property fmtid="{D5CDD505-2E9C-101B-9397-08002B2CF9AE}" pid="10" name="Sensitivity">
    <vt:lpwstr>Internal</vt:lpwstr>
  </property>
</Properties>
</file>