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A9C4" w14:textId="77777777" w:rsidR="0033298C" w:rsidRDefault="00000000">
      <w:pPr>
        <w:spacing w:before="560"/>
      </w:pPr>
      <w:r>
        <w:rPr>
          <w:b/>
          <w:color w:val="17324D"/>
          <w:sz w:val="60"/>
        </w:rPr>
        <w:t>VALUE FUND</w:t>
      </w:r>
      <w:r>
        <w:rPr>
          <w:b/>
          <w:color w:val="17324D"/>
          <w:sz w:val="60"/>
        </w:rPr>
        <w:br/>
        <w:t>COMPARATIVE REVIEW</w:t>
      </w:r>
    </w:p>
    <w:p w14:paraId="7875920D" w14:textId="77777777" w:rsidR="0033298C" w:rsidRDefault="00000000">
      <w:r>
        <w:rPr>
          <w:color w:val="506473"/>
          <w:sz w:val="28"/>
        </w:rPr>
        <w:t>A data-led comparison of six Regular Plan – Growth schemes</w:t>
      </w:r>
    </w:p>
    <w:p w14:paraId="5170F25C" w14:textId="77777777" w:rsidR="0033298C" w:rsidRDefault="00000000">
      <w:r>
        <w:rPr>
          <w:b/>
          <w:color w:val="1C8C8C"/>
        </w:rPr>
        <w:t>HDFC  •  ICICI Prudential  •  Axis  •  DSP  •  Aditya Birla Sun Life  •  Nippon India</w:t>
      </w:r>
    </w:p>
    <w:p w14:paraId="750E9427" w14:textId="77777777" w:rsidR="0033298C" w:rsidRDefault="00000000">
      <w:r>
        <w:rPr>
          <w:i/>
          <w:color w:val="5F6973"/>
          <w:sz w:val="16"/>
        </w:rPr>
        <w:t>Research snapshot: latest retrieved scheme pages dated 7–9 October 2026. Regular plan only; Growth option unless otherwise stated.</w:t>
      </w:r>
    </w:p>
    <w:p w14:paraId="4B56891D" w14:textId="77777777" w:rsidR="0033298C" w:rsidRDefault="00000000">
      <w:pPr>
        <w:pStyle w:val="Heading1"/>
      </w:pPr>
      <w:r>
        <w:t>Executive perspective</w:t>
      </w:r>
    </w:p>
    <w:p w14:paraId="51D6FB92" w14:textId="77777777" w:rsidR="0033298C" w:rsidRDefault="00000000">
      <w:r>
        <w:t>The data does not point to one universal winner. It highlights three different investment profiles: Axis combines the strongest reported three-year return and upside participation; DSP exhibits the lowest volatility and weakest downside capture; HDFC offers a comparatively balanced capture profile with a long history. ICICI has lower beta and downside participation but weaker recent return participation. Aditya Birla Sun Life and Nippon currently show downside capture close to or above 100%, with higher volatility or deeper historical drawdowns.</w:t>
      </w:r>
    </w:p>
    <w:tbl>
      <w:tblPr>
        <w:tblStyle w:val="TableGrid"/>
        <w:tblW w:w="0" w:type="auto"/>
        <w:jc w:val="center"/>
        <w:tblLook w:val="04A0" w:firstRow="1" w:lastRow="0" w:firstColumn="1" w:lastColumn="0" w:noHBand="0" w:noVBand="1"/>
      </w:tblPr>
      <w:tblGrid>
        <w:gridCol w:w="3456"/>
        <w:gridCol w:w="3456"/>
        <w:gridCol w:w="3456"/>
      </w:tblGrid>
      <w:tr w:rsidR="0033298C" w14:paraId="7D8B00BC" w14:textId="77777777">
        <w:trPr>
          <w:tblHeader/>
          <w:jc w:val="center"/>
        </w:trPr>
        <w:tc>
          <w:tcPr>
            <w:tcW w:w="3456" w:type="dxa"/>
            <w:shd w:val="clear" w:color="auto" w:fill="17324D"/>
            <w:vAlign w:val="center"/>
          </w:tcPr>
          <w:p w14:paraId="3F7DE84E" w14:textId="77777777" w:rsidR="0033298C" w:rsidRDefault="00000000">
            <w:pPr>
              <w:spacing w:after="0"/>
            </w:pPr>
            <w:r>
              <w:rPr>
                <w:b/>
                <w:color w:val="FFFFFF"/>
                <w:sz w:val="14"/>
              </w:rPr>
              <w:t>What stands out</w:t>
            </w:r>
          </w:p>
        </w:tc>
        <w:tc>
          <w:tcPr>
            <w:tcW w:w="3456" w:type="dxa"/>
            <w:shd w:val="clear" w:color="auto" w:fill="17324D"/>
            <w:vAlign w:val="center"/>
          </w:tcPr>
          <w:p w14:paraId="5C45D120" w14:textId="77777777" w:rsidR="0033298C" w:rsidRDefault="00000000">
            <w:pPr>
              <w:spacing w:after="0"/>
            </w:pPr>
            <w:r>
              <w:rPr>
                <w:b/>
                <w:color w:val="FFFFFF"/>
                <w:sz w:val="14"/>
              </w:rPr>
              <w:t>Evidence from the comparable 36-month risk table</w:t>
            </w:r>
          </w:p>
        </w:tc>
        <w:tc>
          <w:tcPr>
            <w:tcW w:w="3456" w:type="dxa"/>
            <w:shd w:val="clear" w:color="auto" w:fill="17324D"/>
            <w:vAlign w:val="center"/>
          </w:tcPr>
          <w:p w14:paraId="7D749BD4" w14:textId="77777777" w:rsidR="0033298C" w:rsidRDefault="00000000">
            <w:pPr>
              <w:spacing w:after="0"/>
            </w:pPr>
            <w:r>
              <w:rPr>
                <w:b/>
                <w:color w:val="FFFFFF"/>
                <w:sz w:val="14"/>
              </w:rPr>
              <w:t>Investor interpretation</w:t>
            </w:r>
          </w:p>
        </w:tc>
      </w:tr>
      <w:tr w:rsidR="0033298C" w14:paraId="2D3A5693" w14:textId="77777777">
        <w:trPr>
          <w:cantSplit/>
          <w:jc w:val="center"/>
        </w:trPr>
        <w:tc>
          <w:tcPr>
            <w:tcW w:w="3456" w:type="dxa"/>
            <w:vAlign w:val="center"/>
          </w:tcPr>
          <w:p w14:paraId="58A81BB7" w14:textId="77777777" w:rsidR="0033298C" w:rsidRDefault="00000000">
            <w:pPr>
              <w:spacing w:after="0"/>
            </w:pPr>
            <w:r>
              <w:rPr>
                <w:sz w:val="14"/>
              </w:rPr>
              <w:t>Axis: strongest return/upside mix</w:t>
            </w:r>
          </w:p>
        </w:tc>
        <w:tc>
          <w:tcPr>
            <w:tcW w:w="3456" w:type="dxa"/>
            <w:vAlign w:val="center"/>
          </w:tcPr>
          <w:p w14:paraId="443C1937" w14:textId="77777777" w:rsidR="0033298C" w:rsidRDefault="00000000">
            <w:pPr>
              <w:spacing w:after="0"/>
            </w:pPr>
            <w:r>
              <w:rPr>
                <w:sz w:val="14"/>
              </w:rPr>
              <w:t>3Y CAGR 15.6%; alpha 6.4%; upside capture 118.4%; downside capture 90.9%</w:t>
            </w:r>
          </w:p>
        </w:tc>
        <w:tc>
          <w:tcPr>
            <w:tcW w:w="3456" w:type="dxa"/>
            <w:vAlign w:val="center"/>
          </w:tcPr>
          <w:p w14:paraId="50A035BC" w14:textId="77777777" w:rsidR="0033298C" w:rsidRDefault="00000000">
            <w:pPr>
              <w:spacing w:after="0"/>
            </w:pPr>
            <w:r>
              <w:rPr>
                <w:sz w:val="14"/>
              </w:rPr>
              <w:t>High recent benchmark participation; fund history is short versus older schemes.</w:t>
            </w:r>
          </w:p>
        </w:tc>
      </w:tr>
      <w:tr w:rsidR="0033298C" w14:paraId="12D4C54A" w14:textId="77777777">
        <w:trPr>
          <w:cantSplit/>
          <w:jc w:val="center"/>
        </w:trPr>
        <w:tc>
          <w:tcPr>
            <w:tcW w:w="3456" w:type="dxa"/>
            <w:shd w:val="clear" w:color="auto" w:fill="F1F4F7"/>
            <w:vAlign w:val="center"/>
          </w:tcPr>
          <w:p w14:paraId="321800BF" w14:textId="77777777" w:rsidR="0033298C" w:rsidRDefault="00000000">
            <w:pPr>
              <w:spacing w:after="0"/>
            </w:pPr>
            <w:r>
              <w:rPr>
                <w:sz w:val="14"/>
              </w:rPr>
              <w:t>DSP: most defensive risk profile</w:t>
            </w:r>
          </w:p>
        </w:tc>
        <w:tc>
          <w:tcPr>
            <w:tcW w:w="3456" w:type="dxa"/>
            <w:shd w:val="clear" w:color="auto" w:fill="F1F4F7"/>
            <w:vAlign w:val="center"/>
          </w:tcPr>
          <w:p w14:paraId="5DE173D4" w14:textId="77777777" w:rsidR="0033298C" w:rsidRDefault="00000000">
            <w:pPr>
              <w:spacing w:after="0"/>
            </w:pPr>
            <w:r>
              <w:rPr>
                <w:sz w:val="14"/>
              </w:rPr>
              <w:t>Std. dev. 11.4%; beta 0.67; Sortino 1.17; downside capture 53.6%</w:t>
            </w:r>
          </w:p>
        </w:tc>
        <w:tc>
          <w:tcPr>
            <w:tcW w:w="3456" w:type="dxa"/>
            <w:shd w:val="clear" w:color="auto" w:fill="F1F4F7"/>
            <w:vAlign w:val="center"/>
          </w:tcPr>
          <w:p w14:paraId="2D25810E" w14:textId="77777777" w:rsidR="0033298C" w:rsidRDefault="00000000">
            <w:pPr>
              <w:spacing w:after="0"/>
            </w:pPr>
            <w:r>
              <w:rPr>
                <w:sz w:val="14"/>
              </w:rPr>
              <w:t>Historically much lower downside participation, but upside capture is only 82.5%.</w:t>
            </w:r>
          </w:p>
        </w:tc>
      </w:tr>
      <w:tr w:rsidR="0033298C" w14:paraId="1EA2F3CB" w14:textId="77777777">
        <w:trPr>
          <w:cantSplit/>
          <w:jc w:val="center"/>
        </w:trPr>
        <w:tc>
          <w:tcPr>
            <w:tcW w:w="3456" w:type="dxa"/>
            <w:vAlign w:val="center"/>
          </w:tcPr>
          <w:p w14:paraId="07A15B23" w14:textId="77777777" w:rsidR="0033298C" w:rsidRDefault="00000000">
            <w:pPr>
              <w:spacing w:after="0"/>
            </w:pPr>
            <w:r>
              <w:rPr>
                <w:sz w:val="14"/>
              </w:rPr>
              <w:t>HDFC: balanced capture</w:t>
            </w:r>
          </w:p>
        </w:tc>
        <w:tc>
          <w:tcPr>
            <w:tcW w:w="3456" w:type="dxa"/>
            <w:vAlign w:val="center"/>
          </w:tcPr>
          <w:p w14:paraId="54320A7B" w14:textId="77777777" w:rsidR="0033298C" w:rsidRDefault="00000000">
            <w:pPr>
              <w:spacing w:after="0"/>
            </w:pPr>
            <w:r>
              <w:rPr>
                <w:sz w:val="14"/>
              </w:rPr>
              <w:t>3Y CAGR 14.0%; upside capture 114.9%; downside capture 94.9%</w:t>
            </w:r>
          </w:p>
        </w:tc>
        <w:tc>
          <w:tcPr>
            <w:tcW w:w="3456" w:type="dxa"/>
            <w:vAlign w:val="center"/>
          </w:tcPr>
          <w:p w14:paraId="1EC8F670" w14:textId="77777777" w:rsidR="0033298C" w:rsidRDefault="00000000">
            <w:pPr>
              <w:spacing w:after="0"/>
            </w:pPr>
            <w:r>
              <w:rPr>
                <w:sz w:val="14"/>
              </w:rPr>
              <w:t>Good participation in up phases with slightly lower participation in down phases.</w:t>
            </w:r>
          </w:p>
        </w:tc>
      </w:tr>
      <w:tr w:rsidR="0033298C" w14:paraId="4E31E90E" w14:textId="77777777">
        <w:trPr>
          <w:cantSplit/>
          <w:jc w:val="center"/>
        </w:trPr>
        <w:tc>
          <w:tcPr>
            <w:tcW w:w="3456" w:type="dxa"/>
            <w:shd w:val="clear" w:color="auto" w:fill="F1F4F7"/>
            <w:vAlign w:val="center"/>
          </w:tcPr>
          <w:p w14:paraId="6C6F62B3" w14:textId="77777777" w:rsidR="0033298C" w:rsidRDefault="00000000">
            <w:pPr>
              <w:spacing w:after="0"/>
            </w:pPr>
            <w:r>
              <w:rPr>
                <w:sz w:val="14"/>
              </w:rPr>
              <w:t>ICICI: defensive, but recent weakness</w:t>
            </w:r>
          </w:p>
        </w:tc>
        <w:tc>
          <w:tcPr>
            <w:tcW w:w="3456" w:type="dxa"/>
            <w:shd w:val="clear" w:color="auto" w:fill="F1F4F7"/>
            <w:vAlign w:val="center"/>
          </w:tcPr>
          <w:p w14:paraId="082A5076" w14:textId="77777777" w:rsidR="0033298C" w:rsidRDefault="00000000">
            <w:pPr>
              <w:spacing w:after="0"/>
            </w:pPr>
            <w:r>
              <w:rPr>
                <w:sz w:val="14"/>
              </w:rPr>
              <w:t>Beta 0.79; downside capture 80.0%; 1Y return −8.2%; upside capture 85.0%</w:t>
            </w:r>
          </w:p>
        </w:tc>
        <w:tc>
          <w:tcPr>
            <w:tcW w:w="3456" w:type="dxa"/>
            <w:shd w:val="clear" w:color="auto" w:fill="F1F4F7"/>
            <w:vAlign w:val="center"/>
          </w:tcPr>
          <w:p w14:paraId="5A5D73D7" w14:textId="77777777" w:rsidR="0033298C" w:rsidRDefault="00000000">
            <w:pPr>
              <w:spacing w:after="0"/>
            </w:pPr>
            <w:r>
              <w:rPr>
                <w:sz w:val="14"/>
              </w:rPr>
              <w:t>Lower sensitivity/downside historically, but it has lagged strong up-month participation.</w:t>
            </w:r>
          </w:p>
        </w:tc>
      </w:tr>
      <w:tr w:rsidR="0033298C" w14:paraId="5DA4AA9A" w14:textId="77777777">
        <w:trPr>
          <w:cantSplit/>
          <w:jc w:val="center"/>
        </w:trPr>
        <w:tc>
          <w:tcPr>
            <w:tcW w:w="3456" w:type="dxa"/>
            <w:vAlign w:val="center"/>
          </w:tcPr>
          <w:p w14:paraId="6BC691C7" w14:textId="77777777" w:rsidR="0033298C" w:rsidRDefault="00000000">
            <w:pPr>
              <w:spacing w:after="0"/>
            </w:pPr>
            <w:r>
              <w:rPr>
                <w:sz w:val="14"/>
              </w:rPr>
              <w:t>ABSL: higher volatility / small-cap tilt</w:t>
            </w:r>
          </w:p>
        </w:tc>
        <w:tc>
          <w:tcPr>
            <w:tcW w:w="3456" w:type="dxa"/>
            <w:vAlign w:val="center"/>
          </w:tcPr>
          <w:p w14:paraId="3BD37B60" w14:textId="77777777" w:rsidR="0033298C" w:rsidRDefault="00000000">
            <w:pPr>
              <w:spacing w:after="0"/>
            </w:pPr>
            <w:r>
              <w:rPr>
                <w:sz w:val="14"/>
              </w:rPr>
              <w:t>Std. dev. 17.9%; beta 1.09; small-cap allocation 32.1%; downside capture 102.1%</w:t>
            </w:r>
          </w:p>
        </w:tc>
        <w:tc>
          <w:tcPr>
            <w:tcW w:w="3456" w:type="dxa"/>
            <w:vAlign w:val="center"/>
          </w:tcPr>
          <w:p w14:paraId="3B30E3EC" w14:textId="77777777" w:rsidR="0033298C" w:rsidRDefault="00000000">
            <w:pPr>
              <w:spacing w:after="0"/>
            </w:pPr>
            <w:r>
              <w:rPr>
                <w:sz w:val="14"/>
              </w:rPr>
              <w:t>Upside participation is strong; downside protection is not demonstrated by capture ratio.</w:t>
            </w:r>
          </w:p>
        </w:tc>
      </w:tr>
      <w:tr w:rsidR="0033298C" w14:paraId="5A976327" w14:textId="77777777">
        <w:trPr>
          <w:cantSplit/>
          <w:jc w:val="center"/>
        </w:trPr>
        <w:tc>
          <w:tcPr>
            <w:tcW w:w="3456" w:type="dxa"/>
            <w:shd w:val="clear" w:color="auto" w:fill="F1F4F7"/>
            <w:vAlign w:val="center"/>
          </w:tcPr>
          <w:p w14:paraId="1131B5EE" w14:textId="77777777" w:rsidR="0033298C" w:rsidRDefault="00000000">
            <w:pPr>
              <w:spacing w:after="0"/>
            </w:pPr>
            <w:r>
              <w:rPr>
                <w:sz w:val="14"/>
              </w:rPr>
              <w:t>Nippon: long history, current drawdown</w:t>
            </w:r>
          </w:p>
        </w:tc>
        <w:tc>
          <w:tcPr>
            <w:tcW w:w="3456" w:type="dxa"/>
            <w:shd w:val="clear" w:color="auto" w:fill="F1F4F7"/>
            <w:vAlign w:val="center"/>
          </w:tcPr>
          <w:p w14:paraId="3B1D3916" w14:textId="77777777" w:rsidR="0033298C" w:rsidRDefault="00000000">
            <w:pPr>
              <w:spacing w:after="0"/>
            </w:pPr>
            <w:r>
              <w:rPr>
                <w:sz w:val="14"/>
              </w:rPr>
              <w:t>1Y return −8.3%; 3Y CAGR 11.5%; 5Y max drawdown −18.9%; current drawdown −12.4%</w:t>
            </w:r>
          </w:p>
        </w:tc>
        <w:tc>
          <w:tcPr>
            <w:tcW w:w="3456" w:type="dxa"/>
            <w:shd w:val="clear" w:color="auto" w:fill="F1F4F7"/>
            <w:vAlign w:val="center"/>
          </w:tcPr>
          <w:p w14:paraId="6B23E1B9" w14:textId="77777777" w:rsidR="0033298C" w:rsidRDefault="00000000">
            <w:pPr>
              <w:spacing w:after="0"/>
            </w:pPr>
            <w:r>
              <w:rPr>
                <w:sz w:val="14"/>
              </w:rPr>
              <w:t>Long performance history, but recent loss participation is near/above the benchmark.</w:t>
            </w:r>
          </w:p>
        </w:tc>
      </w:tr>
    </w:tbl>
    <w:p w14:paraId="7CC3AD33" w14:textId="77777777" w:rsidR="0033298C" w:rsidRDefault="0033298C">
      <w:pPr>
        <w:spacing w:after="20"/>
      </w:pPr>
    </w:p>
    <w:p w14:paraId="79D87C27" w14:textId="77777777" w:rsidR="0033298C" w:rsidRDefault="00000000">
      <w:r>
        <w:rPr>
          <w:i/>
          <w:color w:val="5A646E"/>
          <w:sz w:val="16"/>
        </w:rPr>
        <w:t>How to read this report: use the MFIC/Integrato calculations as the primary consistent risk set. Other sources are included for cross-checks and fund facts, not mixed into the primary chart calculations.</w:t>
      </w:r>
    </w:p>
    <w:p w14:paraId="011FE37A" w14:textId="77777777" w:rsidR="0033298C" w:rsidRDefault="00000000">
      <w:r>
        <w:br w:type="page"/>
      </w:r>
    </w:p>
    <w:p w14:paraId="3F6663D0" w14:textId="77777777" w:rsidR="0033298C" w:rsidRDefault="00000000">
      <w:pPr>
        <w:pStyle w:val="Heading1"/>
      </w:pPr>
      <w:r>
        <w:lastRenderedPageBreak/>
        <w:t>1. Performance: trailing returns and consistency</w:t>
      </w:r>
    </w:p>
    <w:p w14:paraId="560FE7A6" w14:textId="77777777" w:rsidR="0033298C" w:rsidRDefault="00000000">
      <w:r>
        <w:t>At the latest retrieved MFIC snapshot (7–9 Oct 2026), Axis leads the group on three- and five-year CAGR; ICICI and Nippon are negative over one year. These are point-in-time returns, not forecasts. Scheme pages differ by one or two days in their end date.</w:t>
      </w:r>
    </w:p>
    <w:p w14:paraId="3B369C61" w14:textId="77777777" w:rsidR="0033298C" w:rsidRDefault="00000000">
      <w:pPr>
        <w:spacing w:after="40"/>
        <w:jc w:val="center"/>
      </w:pPr>
      <w:r>
        <w:rPr>
          <w:noProof/>
        </w:rPr>
        <w:drawing>
          <wp:inline distT="0" distB="0" distL="0" distR="0" wp14:anchorId="65E3FB0C" wp14:editId="7622F809">
            <wp:extent cx="6400800" cy="3003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turns.png"/>
                    <pic:cNvPicPr/>
                  </pic:nvPicPr>
                  <pic:blipFill>
                    <a:blip r:embed="rId8"/>
                    <a:stretch>
                      <a:fillRect/>
                    </a:stretch>
                  </pic:blipFill>
                  <pic:spPr>
                    <a:xfrm>
                      <a:off x="0" y="0"/>
                      <a:ext cx="6400800" cy="300372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33298C" w14:paraId="0927D25A" w14:textId="77777777">
        <w:trPr>
          <w:tblHeader/>
          <w:jc w:val="center"/>
        </w:trPr>
        <w:tc>
          <w:tcPr>
            <w:tcW w:w="1481" w:type="dxa"/>
            <w:shd w:val="clear" w:color="auto" w:fill="17324D"/>
            <w:vAlign w:val="center"/>
          </w:tcPr>
          <w:p w14:paraId="3919FD3F" w14:textId="77777777" w:rsidR="0033298C" w:rsidRDefault="00000000">
            <w:pPr>
              <w:spacing w:after="0"/>
            </w:pPr>
            <w:r>
              <w:rPr>
                <w:b/>
                <w:color w:val="FFFFFF"/>
                <w:sz w:val="14"/>
              </w:rPr>
              <w:t>Scheme</w:t>
            </w:r>
          </w:p>
        </w:tc>
        <w:tc>
          <w:tcPr>
            <w:tcW w:w="1481" w:type="dxa"/>
            <w:shd w:val="clear" w:color="auto" w:fill="17324D"/>
            <w:vAlign w:val="center"/>
          </w:tcPr>
          <w:p w14:paraId="351522B8" w14:textId="77777777" w:rsidR="0033298C" w:rsidRDefault="00000000">
            <w:pPr>
              <w:spacing w:after="0"/>
            </w:pPr>
            <w:r>
              <w:rPr>
                <w:b/>
                <w:color w:val="FFFFFF"/>
                <w:sz w:val="14"/>
              </w:rPr>
              <w:t>1Y CAGR</w:t>
            </w:r>
          </w:p>
        </w:tc>
        <w:tc>
          <w:tcPr>
            <w:tcW w:w="1481" w:type="dxa"/>
            <w:shd w:val="clear" w:color="auto" w:fill="17324D"/>
            <w:vAlign w:val="center"/>
          </w:tcPr>
          <w:p w14:paraId="06E1B59A" w14:textId="77777777" w:rsidR="0033298C" w:rsidRDefault="00000000">
            <w:pPr>
              <w:spacing w:after="0"/>
            </w:pPr>
            <w:r>
              <w:rPr>
                <w:b/>
                <w:color w:val="FFFFFF"/>
                <w:sz w:val="14"/>
              </w:rPr>
              <w:t>3Y CAGR</w:t>
            </w:r>
          </w:p>
        </w:tc>
        <w:tc>
          <w:tcPr>
            <w:tcW w:w="1481" w:type="dxa"/>
            <w:shd w:val="clear" w:color="auto" w:fill="17324D"/>
            <w:vAlign w:val="center"/>
          </w:tcPr>
          <w:p w14:paraId="1C0096BC" w14:textId="77777777" w:rsidR="0033298C" w:rsidRDefault="00000000">
            <w:pPr>
              <w:spacing w:after="0"/>
            </w:pPr>
            <w:r>
              <w:rPr>
                <w:b/>
                <w:color w:val="FFFFFF"/>
                <w:sz w:val="14"/>
              </w:rPr>
              <w:t>5Y CAGR</w:t>
            </w:r>
          </w:p>
        </w:tc>
        <w:tc>
          <w:tcPr>
            <w:tcW w:w="1481" w:type="dxa"/>
            <w:shd w:val="clear" w:color="auto" w:fill="17324D"/>
            <w:vAlign w:val="center"/>
          </w:tcPr>
          <w:p w14:paraId="5DA37034" w14:textId="77777777" w:rsidR="0033298C" w:rsidRDefault="00000000">
            <w:pPr>
              <w:spacing w:after="0"/>
            </w:pPr>
            <w:r>
              <w:rPr>
                <w:b/>
                <w:color w:val="FFFFFF"/>
                <w:sz w:val="14"/>
              </w:rPr>
              <w:t>7Y CAGR</w:t>
            </w:r>
          </w:p>
        </w:tc>
        <w:tc>
          <w:tcPr>
            <w:tcW w:w="1481" w:type="dxa"/>
            <w:shd w:val="clear" w:color="auto" w:fill="17324D"/>
            <w:vAlign w:val="center"/>
          </w:tcPr>
          <w:p w14:paraId="621466C9" w14:textId="77777777" w:rsidR="0033298C" w:rsidRDefault="00000000">
            <w:pPr>
              <w:spacing w:after="0"/>
            </w:pPr>
            <w:r>
              <w:rPr>
                <w:b/>
                <w:color w:val="FFFFFF"/>
                <w:sz w:val="14"/>
              </w:rPr>
              <w:t>10Y CAGR</w:t>
            </w:r>
          </w:p>
        </w:tc>
        <w:tc>
          <w:tcPr>
            <w:tcW w:w="1481" w:type="dxa"/>
            <w:shd w:val="clear" w:color="auto" w:fill="17324D"/>
            <w:vAlign w:val="center"/>
          </w:tcPr>
          <w:p w14:paraId="43B81C70" w14:textId="77777777" w:rsidR="0033298C" w:rsidRDefault="00000000">
            <w:pPr>
              <w:spacing w:after="0"/>
            </w:pPr>
            <w:r>
              <w:rPr>
                <w:b/>
                <w:color w:val="FFFFFF"/>
                <w:sz w:val="14"/>
              </w:rPr>
              <w:t>Page snapshot</w:t>
            </w:r>
          </w:p>
        </w:tc>
      </w:tr>
      <w:tr w:rsidR="0033298C" w14:paraId="46C65704" w14:textId="77777777">
        <w:trPr>
          <w:cantSplit/>
          <w:jc w:val="center"/>
        </w:trPr>
        <w:tc>
          <w:tcPr>
            <w:tcW w:w="1481" w:type="dxa"/>
            <w:vAlign w:val="center"/>
          </w:tcPr>
          <w:p w14:paraId="57BD7C1E" w14:textId="77777777" w:rsidR="0033298C" w:rsidRDefault="00000000">
            <w:pPr>
              <w:spacing w:after="0"/>
            </w:pPr>
            <w:r>
              <w:rPr>
                <w:sz w:val="14"/>
              </w:rPr>
              <w:t>HDFC</w:t>
            </w:r>
          </w:p>
        </w:tc>
        <w:tc>
          <w:tcPr>
            <w:tcW w:w="1481" w:type="dxa"/>
            <w:vAlign w:val="center"/>
          </w:tcPr>
          <w:p w14:paraId="1B4F784C" w14:textId="77777777" w:rsidR="0033298C" w:rsidRDefault="00000000">
            <w:pPr>
              <w:spacing w:after="0"/>
            </w:pPr>
            <w:r>
              <w:rPr>
                <w:sz w:val="14"/>
              </w:rPr>
              <w:t>1.7%</w:t>
            </w:r>
          </w:p>
        </w:tc>
        <w:tc>
          <w:tcPr>
            <w:tcW w:w="1481" w:type="dxa"/>
            <w:vAlign w:val="center"/>
          </w:tcPr>
          <w:p w14:paraId="52C6B694" w14:textId="77777777" w:rsidR="0033298C" w:rsidRDefault="00000000">
            <w:pPr>
              <w:spacing w:after="0"/>
            </w:pPr>
            <w:r>
              <w:rPr>
                <w:sz w:val="14"/>
              </w:rPr>
              <w:t>14.0%</w:t>
            </w:r>
          </w:p>
        </w:tc>
        <w:tc>
          <w:tcPr>
            <w:tcW w:w="1481" w:type="dxa"/>
            <w:vAlign w:val="center"/>
          </w:tcPr>
          <w:p w14:paraId="2C5723BC" w14:textId="77777777" w:rsidR="0033298C" w:rsidRDefault="00000000">
            <w:pPr>
              <w:spacing w:after="0"/>
            </w:pPr>
            <w:r>
              <w:rPr>
                <w:sz w:val="14"/>
              </w:rPr>
              <w:t>11.5%</w:t>
            </w:r>
          </w:p>
        </w:tc>
        <w:tc>
          <w:tcPr>
            <w:tcW w:w="1481" w:type="dxa"/>
            <w:vAlign w:val="center"/>
          </w:tcPr>
          <w:p w14:paraId="2602A037" w14:textId="77777777" w:rsidR="0033298C" w:rsidRDefault="00000000">
            <w:pPr>
              <w:spacing w:after="0"/>
            </w:pPr>
            <w:r>
              <w:rPr>
                <w:sz w:val="14"/>
              </w:rPr>
              <w:t>15.9%</w:t>
            </w:r>
          </w:p>
        </w:tc>
        <w:tc>
          <w:tcPr>
            <w:tcW w:w="1481" w:type="dxa"/>
            <w:vAlign w:val="center"/>
          </w:tcPr>
          <w:p w14:paraId="4DC92B4E" w14:textId="77777777" w:rsidR="0033298C" w:rsidRDefault="00000000">
            <w:pPr>
              <w:spacing w:after="0"/>
            </w:pPr>
            <w:r>
              <w:rPr>
                <w:sz w:val="14"/>
              </w:rPr>
              <w:t>12.6%</w:t>
            </w:r>
          </w:p>
        </w:tc>
        <w:tc>
          <w:tcPr>
            <w:tcW w:w="1481" w:type="dxa"/>
            <w:vAlign w:val="center"/>
          </w:tcPr>
          <w:p w14:paraId="398F3A8F" w14:textId="77777777" w:rsidR="0033298C" w:rsidRDefault="00000000">
            <w:pPr>
              <w:spacing w:after="0"/>
            </w:pPr>
            <w:r>
              <w:rPr>
                <w:sz w:val="14"/>
              </w:rPr>
              <w:t>9 Oct 2026</w:t>
            </w:r>
          </w:p>
        </w:tc>
      </w:tr>
      <w:tr w:rsidR="0033298C" w14:paraId="745875F1" w14:textId="77777777">
        <w:trPr>
          <w:cantSplit/>
          <w:jc w:val="center"/>
        </w:trPr>
        <w:tc>
          <w:tcPr>
            <w:tcW w:w="1481" w:type="dxa"/>
            <w:shd w:val="clear" w:color="auto" w:fill="F1F4F7"/>
            <w:vAlign w:val="center"/>
          </w:tcPr>
          <w:p w14:paraId="420510D7" w14:textId="77777777" w:rsidR="0033298C" w:rsidRDefault="00000000">
            <w:pPr>
              <w:spacing w:after="0"/>
            </w:pPr>
            <w:r>
              <w:rPr>
                <w:sz w:val="14"/>
              </w:rPr>
              <w:t>ICICI Pru</w:t>
            </w:r>
          </w:p>
        </w:tc>
        <w:tc>
          <w:tcPr>
            <w:tcW w:w="1481" w:type="dxa"/>
            <w:shd w:val="clear" w:color="auto" w:fill="F1F4F7"/>
            <w:vAlign w:val="center"/>
          </w:tcPr>
          <w:p w14:paraId="5763E085" w14:textId="77777777" w:rsidR="0033298C" w:rsidRDefault="00000000">
            <w:pPr>
              <w:spacing w:after="0"/>
            </w:pPr>
            <w:r>
              <w:rPr>
                <w:sz w:val="14"/>
              </w:rPr>
              <w:t>-8.2%</w:t>
            </w:r>
          </w:p>
        </w:tc>
        <w:tc>
          <w:tcPr>
            <w:tcW w:w="1481" w:type="dxa"/>
            <w:shd w:val="clear" w:color="auto" w:fill="F1F4F7"/>
            <w:vAlign w:val="center"/>
          </w:tcPr>
          <w:p w14:paraId="2DA9350B" w14:textId="77777777" w:rsidR="0033298C" w:rsidRDefault="00000000">
            <w:pPr>
              <w:spacing w:after="0"/>
            </w:pPr>
            <w:r>
              <w:rPr>
                <w:sz w:val="14"/>
              </w:rPr>
              <w:t>10.1%</w:t>
            </w:r>
          </w:p>
        </w:tc>
        <w:tc>
          <w:tcPr>
            <w:tcW w:w="1481" w:type="dxa"/>
            <w:shd w:val="clear" w:color="auto" w:fill="F1F4F7"/>
            <w:vAlign w:val="center"/>
          </w:tcPr>
          <w:p w14:paraId="4F64C1F5" w14:textId="77777777" w:rsidR="0033298C" w:rsidRDefault="00000000">
            <w:pPr>
              <w:spacing w:after="0"/>
            </w:pPr>
            <w:r>
              <w:rPr>
                <w:sz w:val="14"/>
              </w:rPr>
              <w:t>11.8%</w:t>
            </w:r>
          </w:p>
        </w:tc>
        <w:tc>
          <w:tcPr>
            <w:tcW w:w="1481" w:type="dxa"/>
            <w:shd w:val="clear" w:color="auto" w:fill="F1F4F7"/>
            <w:vAlign w:val="center"/>
          </w:tcPr>
          <w:p w14:paraId="6771C179" w14:textId="77777777" w:rsidR="0033298C" w:rsidRDefault="00000000">
            <w:pPr>
              <w:spacing w:after="0"/>
            </w:pPr>
            <w:r>
              <w:rPr>
                <w:sz w:val="14"/>
              </w:rPr>
              <w:t>18.2%</w:t>
            </w:r>
          </w:p>
        </w:tc>
        <w:tc>
          <w:tcPr>
            <w:tcW w:w="1481" w:type="dxa"/>
            <w:shd w:val="clear" w:color="auto" w:fill="F1F4F7"/>
            <w:vAlign w:val="center"/>
          </w:tcPr>
          <w:p w14:paraId="12182743" w14:textId="77777777" w:rsidR="0033298C" w:rsidRDefault="00000000">
            <w:pPr>
              <w:spacing w:after="0"/>
            </w:pPr>
            <w:r>
              <w:rPr>
                <w:sz w:val="14"/>
              </w:rPr>
              <w:t>13.2%</w:t>
            </w:r>
          </w:p>
        </w:tc>
        <w:tc>
          <w:tcPr>
            <w:tcW w:w="1481" w:type="dxa"/>
            <w:shd w:val="clear" w:color="auto" w:fill="F1F4F7"/>
            <w:vAlign w:val="center"/>
          </w:tcPr>
          <w:p w14:paraId="43A6E2D2" w14:textId="77777777" w:rsidR="0033298C" w:rsidRDefault="00000000">
            <w:pPr>
              <w:spacing w:after="0"/>
            </w:pPr>
            <w:r>
              <w:rPr>
                <w:sz w:val="14"/>
              </w:rPr>
              <w:t>7 Oct 2026</w:t>
            </w:r>
          </w:p>
        </w:tc>
      </w:tr>
      <w:tr w:rsidR="0033298C" w14:paraId="34206C0C" w14:textId="77777777">
        <w:trPr>
          <w:cantSplit/>
          <w:jc w:val="center"/>
        </w:trPr>
        <w:tc>
          <w:tcPr>
            <w:tcW w:w="1481" w:type="dxa"/>
            <w:vAlign w:val="center"/>
          </w:tcPr>
          <w:p w14:paraId="00B18EB9" w14:textId="77777777" w:rsidR="0033298C" w:rsidRDefault="00000000">
            <w:pPr>
              <w:spacing w:after="0"/>
            </w:pPr>
            <w:r>
              <w:rPr>
                <w:sz w:val="14"/>
              </w:rPr>
              <w:t>Axis</w:t>
            </w:r>
          </w:p>
        </w:tc>
        <w:tc>
          <w:tcPr>
            <w:tcW w:w="1481" w:type="dxa"/>
            <w:vAlign w:val="center"/>
          </w:tcPr>
          <w:p w14:paraId="36BCFF89" w14:textId="77777777" w:rsidR="0033298C" w:rsidRDefault="00000000">
            <w:pPr>
              <w:spacing w:after="0"/>
            </w:pPr>
            <w:r>
              <w:rPr>
                <w:sz w:val="14"/>
              </w:rPr>
              <w:t>2.7%</w:t>
            </w:r>
          </w:p>
        </w:tc>
        <w:tc>
          <w:tcPr>
            <w:tcW w:w="1481" w:type="dxa"/>
            <w:vAlign w:val="center"/>
          </w:tcPr>
          <w:p w14:paraId="0BA40AAF" w14:textId="77777777" w:rsidR="0033298C" w:rsidRDefault="00000000">
            <w:pPr>
              <w:spacing w:after="0"/>
            </w:pPr>
            <w:r>
              <w:rPr>
                <w:sz w:val="14"/>
              </w:rPr>
              <w:t>15.6%</w:t>
            </w:r>
          </w:p>
        </w:tc>
        <w:tc>
          <w:tcPr>
            <w:tcW w:w="1481" w:type="dxa"/>
            <w:vAlign w:val="center"/>
          </w:tcPr>
          <w:p w14:paraId="2F3A8755" w14:textId="77777777" w:rsidR="0033298C" w:rsidRDefault="00000000">
            <w:pPr>
              <w:spacing w:after="0"/>
            </w:pPr>
            <w:r>
              <w:rPr>
                <w:sz w:val="14"/>
              </w:rPr>
              <w:t>13.2%</w:t>
            </w:r>
          </w:p>
        </w:tc>
        <w:tc>
          <w:tcPr>
            <w:tcW w:w="1481" w:type="dxa"/>
            <w:vAlign w:val="center"/>
          </w:tcPr>
          <w:p w14:paraId="7366A4B6" w14:textId="77777777" w:rsidR="0033298C" w:rsidRDefault="00000000">
            <w:pPr>
              <w:spacing w:after="0"/>
            </w:pPr>
            <w:r>
              <w:rPr>
                <w:sz w:val="14"/>
              </w:rPr>
              <w:t>n/a</w:t>
            </w:r>
          </w:p>
        </w:tc>
        <w:tc>
          <w:tcPr>
            <w:tcW w:w="1481" w:type="dxa"/>
            <w:vAlign w:val="center"/>
          </w:tcPr>
          <w:p w14:paraId="43C9DC58" w14:textId="77777777" w:rsidR="0033298C" w:rsidRDefault="00000000">
            <w:pPr>
              <w:spacing w:after="0"/>
            </w:pPr>
            <w:r>
              <w:rPr>
                <w:sz w:val="14"/>
              </w:rPr>
              <w:t>n/a</w:t>
            </w:r>
          </w:p>
        </w:tc>
        <w:tc>
          <w:tcPr>
            <w:tcW w:w="1481" w:type="dxa"/>
            <w:vAlign w:val="center"/>
          </w:tcPr>
          <w:p w14:paraId="3216EA1F" w14:textId="77777777" w:rsidR="0033298C" w:rsidRDefault="00000000">
            <w:pPr>
              <w:spacing w:after="0"/>
            </w:pPr>
            <w:r>
              <w:rPr>
                <w:sz w:val="14"/>
              </w:rPr>
              <w:t>9 Oct 2026</w:t>
            </w:r>
          </w:p>
        </w:tc>
      </w:tr>
      <w:tr w:rsidR="0033298C" w14:paraId="6D7BA895" w14:textId="77777777">
        <w:trPr>
          <w:cantSplit/>
          <w:jc w:val="center"/>
        </w:trPr>
        <w:tc>
          <w:tcPr>
            <w:tcW w:w="1481" w:type="dxa"/>
            <w:shd w:val="clear" w:color="auto" w:fill="F1F4F7"/>
            <w:vAlign w:val="center"/>
          </w:tcPr>
          <w:p w14:paraId="5ADDD875" w14:textId="77777777" w:rsidR="0033298C" w:rsidRDefault="00000000">
            <w:pPr>
              <w:spacing w:after="0"/>
            </w:pPr>
            <w:r>
              <w:rPr>
                <w:sz w:val="14"/>
              </w:rPr>
              <w:t>DSP</w:t>
            </w:r>
          </w:p>
        </w:tc>
        <w:tc>
          <w:tcPr>
            <w:tcW w:w="1481" w:type="dxa"/>
            <w:shd w:val="clear" w:color="auto" w:fill="F1F4F7"/>
            <w:vAlign w:val="center"/>
          </w:tcPr>
          <w:p w14:paraId="0BC5E104" w14:textId="77777777" w:rsidR="0033298C" w:rsidRDefault="00000000">
            <w:pPr>
              <w:spacing w:after="0"/>
            </w:pPr>
            <w:r>
              <w:rPr>
                <w:sz w:val="14"/>
              </w:rPr>
              <w:t>0.7%</w:t>
            </w:r>
          </w:p>
        </w:tc>
        <w:tc>
          <w:tcPr>
            <w:tcW w:w="1481" w:type="dxa"/>
            <w:shd w:val="clear" w:color="auto" w:fill="F1F4F7"/>
            <w:vAlign w:val="center"/>
          </w:tcPr>
          <w:p w14:paraId="41560821" w14:textId="77777777" w:rsidR="0033298C" w:rsidRDefault="00000000">
            <w:pPr>
              <w:spacing w:after="0"/>
            </w:pPr>
            <w:r>
              <w:rPr>
                <w:sz w:val="14"/>
              </w:rPr>
              <w:t>13.9%</w:t>
            </w:r>
          </w:p>
        </w:tc>
        <w:tc>
          <w:tcPr>
            <w:tcW w:w="1481" w:type="dxa"/>
            <w:shd w:val="clear" w:color="auto" w:fill="F1F4F7"/>
            <w:vAlign w:val="center"/>
          </w:tcPr>
          <w:p w14:paraId="1C82C43D" w14:textId="77777777" w:rsidR="0033298C" w:rsidRDefault="00000000">
            <w:pPr>
              <w:spacing w:after="0"/>
            </w:pPr>
            <w:r>
              <w:rPr>
                <w:sz w:val="14"/>
              </w:rPr>
              <w:t>10.8%</w:t>
            </w:r>
          </w:p>
        </w:tc>
        <w:tc>
          <w:tcPr>
            <w:tcW w:w="1481" w:type="dxa"/>
            <w:shd w:val="clear" w:color="auto" w:fill="F1F4F7"/>
            <w:vAlign w:val="center"/>
          </w:tcPr>
          <w:p w14:paraId="5FAF215D" w14:textId="77777777" w:rsidR="0033298C" w:rsidRDefault="00000000">
            <w:pPr>
              <w:spacing w:after="0"/>
            </w:pPr>
            <w:r>
              <w:rPr>
                <w:sz w:val="14"/>
              </w:rPr>
              <w:t>n/a</w:t>
            </w:r>
          </w:p>
        </w:tc>
        <w:tc>
          <w:tcPr>
            <w:tcW w:w="1481" w:type="dxa"/>
            <w:shd w:val="clear" w:color="auto" w:fill="F1F4F7"/>
            <w:vAlign w:val="center"/>
          </w:tcPr>
          <w:p w14:paraId="5C9FD861" w14:textId="77777777" w:rsidR="0033298C" w:rsidRDefault="00000000">
            <w:pPr>
              <w:spacing w:after="0"/>
            </w:pPr>
            <w:r>
              <w:rPr>
                <w:sz w:val="14"/>
              </w:rPr>
              <w:t>n/a</w:t>
            </w:r>
          </w:p>
        </w:tc>
        <w:tc>
          <w:tcPr>
            <w:tcW w:w="1481" w:type="dxa"/>
            <w:shd w:val="clear" w:color="auto" w:fill="F1F4F7"/>
            <w:vAlign w:val="center"/>
          </w:tcPr>
          <w:p w14:paraId="7B3CFB25" w14:textId="77777777" w:rsidR="0033298C" w:rsidRDefault="00000000">
            <w:pPr>
              <w:spacing w:after="0"/>
            </w:pPr>
            <w:r>
              <w:rPr>
                <w:sz w:val="14"/>
              </w:rPr>
              <w:t>9 Oct 2026</w:t>
            </w:r>
          </w:p>
        </w:tc>
      </w:tr>
      <w:tr w:rsidR="0033298C" w14:paraId="31BF731F" w14:textId="77777777">
        <w:trPr>
          <w:cantSplit/>
          <w:jc w:val="center"/>
        </w:trPr>
        <w:tc>
          <w:tcPr>
            <w:tcW w:w="1481" w:type="dxa"/>
            <w:vAlign w:val="center"/>
          </w:tcPr>
          <w:p w14:paraId="3BFF5CEE" w14:textId="77777777" w:rsidR="0033298C" w:rsidRDefault="00000000">
            <w:pPr>
              <w:spacing w:after="0"/>
            </w:pPr>
            <w:r>
              <w:rPr>
                <w:sz w:val="14"/>
              </w:rPr>
              <w:t>ABSL</w:t>
            </w:r>
          </w:p>
        </w:tc>
        <w:tc>
          <w:tcPr>
            <w:tcW w:w="1481" w:type="dxa"/>
            <w:vAlign w:val="center"/>
          </w:tcPr>
          <w:p w14:paraId="4E9CF997" w14:textId="77777777" w:rsidR="0033298C" w:rsidRDefault="00000000">
            <w:pPr>
              <w:spacing w:after="0"/>
            </w:pPr>
            <w:r>
              <w:rPr>
                <w:sz w:val="14"/>
              </w:rPr>
              <w:t>5.8%</w:t>
            </w:r>
          </w:p>
        </w:tc>
        <w:tc>
          <w:tcPr>
            <w:tcW w:w="1481" w:type="dxa"/>
            <w:vAlign w:val="center"/>
          </w:tcPr>
          <w:p w14:paraId="771FFB9B" w14:textId="77777777" w:rsidR="0033298C" w:rsidRDefault="00000000">
            <w:pPr>
              <w:spacing w:after="0"/>
            </w:pPr>
            <w:r>
              <w:rPr>
                <w:sz w:val="14"/>
              </w:rPr>
              <w:t>12.2%</w:t>
            </w:r>
          </w:p>
        </w:tc>
        <w:tc>
          <w:tcPr>
            <w:tcW w:w="1481" w:type="dxa"/>
            <w:vAlign w:val="center"/>
          </w:tcPr>
          <w:p w14:paraId="21045CC6" w14:textId="77777777" w:rsidR="0033298C" w:rsidRDefault="00000000">
            <w:pPr>
              <w:spacing w:after="0"/>
            </w:pPr>
            <w:r>
              <w:rPr>
                <w:sz w:val="14"/>
              </w:rPr>
              <w:t>11.6%</w:t>
            </w:r>
          </w:p>
        </w:tc>
        <w:tc>
          <w:tcPr>
            <w:tcW w:w="1481" w:type="dxa"/>
            <w:vAlign w:val="center"/>
          </w:tcPr>
          <w:p w14:paraId="3F67EE53" w14:textId="77777777" w:rsidR="0033298C" w:rsidRDefault="00000000">
            <w:pPr>
              <w:spacing w:after="0"/>
            </w:pPr>
            <w:r>
              <w:rPr>
                <w:sz w:val="14"/>
              </w:rPr>
              <w:t>16.7%</w:t>
            </w:r>
          </w:p>
        </w:tc>
        <w:tc>
          <w:tcPr>
            <w:tcW w:w="1481" w:type="dxa"/>
            <w:vAlign w:val="center"/>
          </w:tcPr>
          <w:p w14:paraId="112EAA31" w14:textId="77777777" w:rsidR="0033298C" w:rsidRDefault="00000000">
            <w:pPr>
              <w:spacing w:after="0"/>
            </w:pPr>
            <w:r>
              <w:rPr>
                <w:sz w:val="14"/>
              </w:rPr>
              <w:t>10.5%</w:t>
            </w:r>
          </w:p>
        </w:tc>
        <w:tc>
          <w:tcPr>
            <w:tcW w:w="1481" w:type="dxa"/>
            <w:vAlign w:val="center"/>
          </w:tcPr>
          <w:p w14:paraId="4643CA94" w14:textId="77777777" w:rsidR="0033298C" w:rsidRDefault="00000000">
            <w:pPr>
              <w:spacing w:after="0"/>
            </w:pPr>
            <w:r>
              <w:rPr>
                <w:sz w:val="14"/>
              </w:rPr>
              <w:t>9 Oct 2026</w:t>
            </w:r>
          </w:p>
        </w:tc>
      </w:tr>
      <w:tr w:rsidR="0033298C" w14:paraId="4A7FF74E" w14:textId="77777777">
        <w:trPr>
          <w:cantSplit/>
          <w:jc w:val="center"/>
        </w:trPr>
        <w:tc>
          <w:tcPr>
            <w:tcW w:w="1481" w:type="dxa"/>
            <w:shd w:val="clear" w:color="auto" w:fill="F1F4F7"/>
            <w:vAlign w:val="center"/>
          </w:tcPr>
          <w:p w14:paraId="18B0408F" w14:textId="77777777" w:rsidR="0033298C" w:rsidRDefault="00000000">
            <w:pPr>
              <w:spacing w:after="0"/>
            </w:pPr>
            <w:r>
              <w:rPr>
                <w:sz w:val="14"/>
              </w:rPr>
              <w:t>Nippon</w:t>
            </w:r>
          </w:p>
        </w:tc>
        <w:tc>
          <w:tcPr>
            <w:tcW w:w="1481" w:type="dxa"/>
            <w:shd w:val="clear" w:color="auto" w:fill="F1F4F7"/>
            <w:vAlign w:val="center"/>
          </w:tcPr>
          <w:p w14:paraId="3CA96EB0" w14:textId="77777777" w:rsidR="0033298C" w:rsidRDefault="00000000">
            <w:pPr>
              <w:spacing w:after="0"/>
            </w:pPr>
            <w:r>
              <w:rPr>
                <w:sz w:val="14"/>
              </w:rPr>
              <w:t>-8.3%</w:t>
            </w:r>
          </w:p>
        </w:tc>
        <w:tc>
          <w:tcPr>
            <w:tcW w:w="1481" w:type="dxa"/>
            <w:shd w:val="clear" w:color="auto" w:fill="F1F4F7"/>
            <w:vAlign w:val="center"/>
          </w:tcPr>
          <w:p w14:paraId="4B082D61" w14:textId="77777777" w:rsidR="0033298C" w:rsidRDefault="00000000">
            <w:pPr>
              <w:spacing w:after="0"/>
            </w:pPr>
            <w:r>
              <w:rPr>
                <w:sz w:val="14"/>
              </w:rPr>
              <w:t>11.5%</w:t>
            </w:r>
          </w:p>
        </w:tc>
        <w:tc>
          <w:tcPr>
            <w:tcW w:w="1481" w:type="dxa"/>
            <w:shd w:val="clear" w:color="auto" w:fill="F1F4F7"/>
            <w:vAlign w:val="center"/>
          </w:tcPr>
          <w:p w14:paraId="13C1BB1B" w14:textId="77777777" w:rsidR="0033298C" w:rsidRDefault="00000000">
            <w:pPr>
              <w:spacing w:after="0"/>
            </w:pPr>
            <w:r>
              <w:rPr>
                <w:sz w:val="14"/>
              </w:rPr>
              <w:t>10.8%</w:t>
            </w:r>
          </w:p>
        </w:tc>
        <w:tc>
          <w:tcPr>
            <w:tcW w:w="1481" w:type="dxa"/>
            <w:shd w:val="clear" w:color="auto" w:fill="F1F4F7"/>
            <w:vAlign w:val="center"/>
          </w:tcPr>
          <w:p w14:paraId="0A33BE9F" w14:textId="77777777" w:rsidR="0033298C" w:rsidRDefault="00000000">
            <w:pPr>
              <w:spacing w:after="0"/>
            </w:pPr>
            <w:r>
              <w:rPr>
                <w:sz w:val="14"/>
              </w:rPr>
              <w:t>16.6%</w:t>
            </w:r>
          </w:p>
        </w:tc>
        <w:tc>
          <w:tcPr>
            <w:tcW w:w="1481" w:type="dxa"/>
            <w:shd w:val="clear" w:color="auto" w:fill="F1F4F7"/>
            <w:vAlign w:val="center"/>
          </w:tcPr>
          <w:p w14:paraId="7E249BFF" w14:textId="77777777" w:rsidR="0033298C" w:rsidRDefault="00000000">
            <w:pPr>
              <w:spacing w:after="0"/>
            </w:pPr>
            <w:r>
              <w:rPr>
                <w:sz w:val="14"/>
              </w:rPr>
              <w:t>13.5%</w:t>
            </w:r>
          </w:p>
        </w:tc>
        <w:tc>
          <w:tcPr>
            <w:tcW w:w="1481" w:type="dxa"/>
            <w:shd w:val="clear" w:color="auto" w:fill="F1F4F7"/>
            <w:vAlign w:val="center"/>
          </w:tcPr>
          <w:p w14:paraId="5D81755A" w14:textId="77777777" w:rsidR="0033298C" w:rsidRDefault="00000000">
            <w:pPr>
              <w:spacing w:after="0"/>
            </w:pPr>
            <w:r>
              <w:rPr>
                <w:sz w:val="14"/>
              </w:rPr>
              <w:t>9 Oct 2026</w:t>
            </w:r>
          </w:p>
        </w:tc>
      </w:tr>
    </w:tbl>
    <w:p w14:paraId="2A3F3D9C" w14:textId="77777777" w:rsidR="0033298C" w:rsidRDefault="0033298C">
      <w:pPr>
        <w:spacing w:after="20"/>
      </w:pPr>
    </w:p>
    <w:p w14:paraId="572B4E15" w14:textId="77777777" w:rsidR="0033298C" w:rsidRDefault="00000000">
      <w:pPr>
        <w:pStyle w:val="Heading2"/>
      </w:pPr>
      <w:r>
        <w:t>Benchmark context</w:t>
      </w:r>
    </w:p>
    <w:p w14:paraId="335F4F40" w14:textId="77777777" w:rsidR="0033298C" w:rsidRDefault="00000000">
      <w:r>
        <w:t>All six schemes list Nifty 500 TRI as their official tier-1 benchmark. For the standardised capture-ratio calculation, MFIC uses a Nifty 500 index-fund proxy based on price return; the site’s common market-context series was approximately −5.1% for 1Y, +9.3% p.a. for 3Y and +8.1% p.a. for 5Y as of 9 Oct 2026. Because this proxy is after its own costs and is not the TRI itself, it should be treated as context—not as an exact official benchmark return series.</w:t>
      </w:r>
    </w:p>
    <w:tbl>
      <w:tblPr>
        <w:tblStyle w:val="TableGrid"/>
        <w:tblW w:w="0" w:type="auto"/>
        <w:jc w:val="center"/>
        <w:tblLook w:val="04A0" w:firstRow="1" w:lastRow="0" w:firstColumn="1" w:lastColumn="0" w:noHBand="0" w:noVBand="1"/>
      </w:tblPr>
      <w:tblGrid>
        <w:gridCol w:w="3456"/>
        <w:gridCol w:w="3456"/>
        <w:gridCol w:w="3456"/>
      </w:tblGrid>
      <w:tr w:rsidR="0033298C" w14:paraId="71668A0A" w14:textId="77777777">
        <w:trPr>
          <w:tblHeader/>
          <w:jc w:val="center"/>
        </w:trPr>
        <w:tc>
          <w:tcPr>
            <w:tcW w:w="3456" w:type="dxa"/>
            <w:shd w:val="clear" w:color="auto" w:fill="17324D"/>
            <w:vAlign w:val="center"/>
          </w:tcPr>
          <w:p w14:paraId="6A7018FF" w14:textId="77777777" w:rsidR="0033298C" w:rsidRDefault="00000000">
            <w:pPr>
              <w:spacing w:after="0"/>
            </w:pPr>
            <w:r>
              <w:rPr>
                <w:b/>
                <w:color w:val="FFFFFF"/>
                <w:sz w:val="14"/>
              </w:rPr>
              <w:t>Scheme</w:t>
            </w:r>
          </w:p>
        </w:tc>
        <w:tc>
          <w:tcPr>
            <w:tcW w:w="3456" w:type="dxa"/>
            <w:shd w:val="clear" w:color="auto" w:fill="17324D"/>
            <w:vAlign w:val="center"/>
          </w:tcPr>
          <w:p w14:paraId="697BEB2A" w14:textId="77777777" w:rsidR="0033298C" w:rsidRDefault="00000000">
            <w:pPr>
              <w:spacing w:after="0"/>
            </w:pPr>
            <w:r>
              <w:rPr>
                <w:b/>
                <w:color w:val="FFFFFF"/>
                <w:sz w:val="14"/>
              </w:rPr>
              <w:t>Official Nifty 500 TRI benchmark return (1Y / 3Y / 5Y)</w:t>
            </w:r>
          </w:p>
        </w:tc>
        <w:tc>
          <w:tcPr>
            <w:tcW w:w="3456" w:type="dxa"/>
            <w:shd w:val="clear" w:color="auto" w:fill="17324D"/>
            <w:vAlign w:val="center"/>
          </w:tcPr>
          <w:p w14:paraId="51F9A61D" w14:textId="77777777" w:rsidR="0033298C" w:rsidRDefault="00000000">
            <w:pPr>
              <w:spacing w:after="0"/>
            </w:pPr>
            <w:r>
              <w:rPr>
                <w:b/>
                <w:color w:val="FFFFFF"/>
                <w:sz w:val="14"/>
              </w:rPr>
              <w:t>Source note</w:t>
            </w:r>
          </w:p>
        </w:tc>
      </w:tr>
      <w:tr w:rsidR="0033298C" w14:paraId="73FCAD90" w14:textId="77777777">
        <w:trPr>
          <w:cantSplit/>
          <w:jc w:val="center"/>
        </w:trPr>
        <w:tc>
          <w:tcPr>
            <w:tcW w:w="3456" w:type="dxa"/>
            <w:vAlign w:val="center"/>
          </w:tcPr>
          <w:p w14:paraId="05CA83DE" w14:textId="77777777" w:rsidR="0033298C" w:rsidRDefault="00000000">
            <w:pPr>
              <w:spacing w:after="0"/>
            </w:pPr>
            <w:r>
              <w:rPr>
                <w:sz w:val="14"/>
              </w:rPr>
              <w:t>HDFC</w:t>
            </w:r>
          </w:p>
        </w:tc>
        <w:tc>
          <w:tcPr>
            <w:tcW w:w="3456" w:type="dxa"/>
            <w:vAlign w:val="center"/>
          </w:tcPr>
          <w:p w14:paraId="45319438" w14:textId="77777777" w:rsidR="0033298C" w:rsidRDefault="00000000">
            <w:pPr>
              <w:spacing w:after="0"/>
            </w:pPr>
            <w:r>
              <w:rPr>
                <w:sz w:val="14"/>
              </w:rPr>
              <w:t>−5.6% / 8.7% / 8.1%</w:t>
            </w:r>
          </w:p>
        </w:tc>
        <w:tc>
          <w:tcPr>
            <w:tcW w:w="3456" w:type="dxa"/>
            <w:vAlign w:val="center"/>
          </w:tcPr>
          <w:p w14:paraId="1A100781" w14:textId="77777777" w:rsidR="0033298C" w:rsidRDefault="00000000">
            <w:pPr>
              <w:spacing w:after="0"/>
            </w:pPr>
            <w:r>
              <w:rPr>
                <w:sz w:val="14"/>
              </w:rPr>
              <w:t>AMFI-reported comparison shown on MFIC; snapshot 8 Oct</w:t>
            </w:r>
          </w:p>
        </w:tc>
      </w:tr>
      <w:tr w:rsidR="0033298C" w14:paraId="3F170CE0" w14:textId="77777777">
        <w:trPr>
          <w:cantSplit/>
          <w:jc w:val="center"/>
        </w:trPr>
        <w:tc>
          <w:tcPr>
            <w:tcW w:w="3456" w:type="dxa"/>
            <w:shd w:val="clear" w:color="auto" w:fill="F1F4F7"/>
            <w:vAlign w:val="center"/>
          </w:tcPr>
          <w:p w14:paraId="3F9B5503" w14:textId="77777777" w:rsidR="0033298C" w:rsidRDefault="00000000">
            <w:pPr>
              <w:spacing w:after="0"/>
            </w:pPr>
            <w:r>
              <w:rPr>
                <w:sz w:val="14"/>
              </w:rPr>
              <w:t>ICICI Prudential</w:t>
            </w:r>
          </w:p>
        </w:tc>
        <w:tc>
          <w:tcPr>
            <w:tcW w:w="3456" w:type="dxa"/>
            <w:shd w:val="clear" w:color="auto" w:fill="F1F4F7"/>
            <w:vAlign w:val="center"/>
          </w:tcPr>
          <w:p w14:paraId="45193CEA" w14:textId="77777777" w:rsidR="0033298C" w:rsidRDefault="00000000">
            <w:pPr>
              <w:spacing w:after="0"/>
            </w:pPr>
            <w:r>
              <w:rPr>
                <w:sz w:val="14"/>
              </w:rPr>
              <w:t>−4.1% / 9.5% / 8.7%</w:t>
            </w:r>
          </w:p>
        </w:tc>
        <w:tc>
          <w:tcPr>
            <w:tcW w:w="3456" w:type="dxa"/>
            <w:shd w:val="clear" w:color="auto" w:fill="F1F4F7"/>
            <w:vAlign w:val="center"/>
          </w:tcPr>
          <w:p w14:paraId="7442BB44" w14:textId="77777777" w:rsidR="0033298C" w:rsidRDefault="00000000">
            <w:pPr>
              <w:spacing w:after="0"/>
            </w:pPr>
            <w:r>
              <w:rPr>
                <w:sz w:val="14"/>
              </w:rPr>
              <w:t>AMFI-reported comparison shown on MFIC; snapshot 7 Oct</w:t>
            </w:r>
          </w:p>
        </w:tc>
      </w:tr>
      <w:tr w:rsidR="0033298C" w14:paraId="10C25396" w14:textId="77777777">
        <w:trPr>
          <w:cantSplit/>
          <w:jc w:val="center"/>
        </w:trPr>
        <w:tc>
          <w:tcPr>
            <w:tcW w:w="3456" w:type="dxa"/>
            <w:vAlign w:val="center"/>
          </w:tcPr>
          <w:p w14:paraId="7255B9E0" w14:textId="77777777" w:rsidR="0033298C" w:rsidRDefault="00000000">
            <w:pPr>
              <w:spacing w:after="0"/>
            </w:pPr>
            <w:r>
              <w:rPr>
                <w:sz w:val="14"/>
              </w:rPr>
              <w:t>Axis</w:t>
            </w:r>
          </w:p>
        </w:tc>
        <w:tc>
          <w:tcPr>
            <w:tcW w:w="3456" w:type="dxa"/>
            <w:vAlign w:val="center"/>
          </w:tcPr>
          <w:p w14:paraId="5DC8B1AC" w14:textId="77777777" w:rsidR="0033298C" w:rsidRDefault="00000000">
            <w:pPr>
              <w:spacing w:after="0"/>
            </w:pPr>
            <w:r>
              <w:rPr>
                <w:sz w:val="14"/>
              </w:rPr>
              <w:t>−5.6% / 8.7% / 8.1%</w:t>
            </w:r>
          </w:p>
        </w:tc>
        <w:tc>
          <w:tcPr>
            <w:tcW w:w="3456" w:type="dxa"/>
            <w:vAlign w:val="center"/>
          </w:tcPr>
          <w:p w14:paraId="7754F184" w14:textId="77777777" w:rsidR="0033298C" w:rsidRDefault="00000000">
            <w:pPr>
              <w:spacing w:after="0"/>
            </w:pPr>
            <w:r>
              <w:rPr>
                <w:sz w:val="14"/>
              </w:rPr>
              <w:t>AMFI-reported comparison shown on MFIC; snapshot 8 Oct</w:t>
            </w:r>
          </w:p>
        </w:tc>
      </w:tr>
      <w:tr w:rsidR="0033298C" w14:paraId="73A5E202" w14:textId="77777777">
        <w:trPr>
          <w:cantSplit/>
          <w:jc w:val="center"/>
        </w:trPr>
        <w:tc>
          <w:tcPr>
            <w:tcW w:w="3456" w:type="dxa"/>
            <w:shd w:val="clear" w:color="auto" w:fill="F1F4F7"/>
            <w:vAlign w:val="center"/>
          </w:tcPr>
          <w:p w14:paraId="0A0D5413" w14:textId="77777777" w:rsidR="0033298C" w:rsidRDefault="00000000">
            <w:pPr>
              <w:spacing w:after="0"/>
            </w:pPr>
            <w:r>
              <w:rPr>
                <w:sz w:val="14"/>
              </w:rPr>
              <w:t>DSP</w:t>
            </w:r>
          </w:p>
        </w:tc>
        <w:tc>
          <w:tcPr>
            <w:tcW w:w="3456" w:type="dxa"/>
            <w:shd w:val="clear" w:color="auto" w:fill="F1F4F7"/>
            <w:vAlign w:val="center"/>
          </w:tcPr>
          <w:p w14:paraId="3C5F0151" w14:textId="77777777" w:rsidR="0033298C" w:rsidRDefault="00000000">
            <w:pPr>
              <w:spacing w:after="0"/>
            </w:pPr>
            <w:r>
              <w:rPr>
                <w:sz w:val="14"/>
              </w:rPr>
              <w:t>Not surfaced as a matching AMFI table</w:t>
            </w:r>
          </w:p>
        </w:tc>
        <w:tc>
          <w:tcPr>
            <w:tcW w:w="3456" w:type="dxa"/>
            <w:shd w:val="clear" w:color="auto" w:fill="F1F4F7"/>
            <w:vAlign w:val="center"/>
          </w:tcPr>
          <w:p w14:paraId="23C264E8" w14:textId="77777777" w:rsidR="0033298C" w:rsidRDefault="00000000">
            <w:pPr>
              <w:spacing w:after="0"/>
            </w:pPr>
            <w:r>
              <w:rPr>
                <w:sz w:val="14"/>
              </w:rPr>
              <w:t>Nifty 500 TRI is the official benchmark; do not substitute the price-return proxy silently</w:t>
            </w:r>
          </w:p>
        </w:tc>
      </w:tr>
      <w:tr w:rsidR="0033298C" w14:paraId="67CAFC90" w14:textId="77777777">
        <w:trPr>
          <w:cantSplit/>
          <w:jc w:val="center"/>
        </w:trPr>
        <w:tc>
          <w:tcPr>
            <w:tcW w:w="3456" w:type="dxa"/>
            <w:vAlign w:val="center"/>
          </w:tcPr>
          <w:p w14:paraId="3DDC5CBD" w14:textId="77777777" w:rsidR="0033298C" w:rsidRDefault="00000000">
            <w:pPr>
              <w:spacing w:after="0"/>
            </w:pPr>
            <w:r>
              <w:rPr>
                <w:sz w:val="14"/>
              </w:rPr>
              <w:t>Aditya Birla Sun Life</w:t>
            </w:r>
          </w:p>
        </w:tc>
        <w:tc>
          <w:tcPr>
            <w:tcW w:w="3456" w:type="dxa"/>
            <w:vAlign w:val="center"/>
          </w:tcPr>
          <w:p w14:paraId="49DE9BCC" w14:textId="77777777" w:rsidR="0033298C" w:rsidRDefault="00000000">
            <w:pPr>
              <w:spacing w:after="0"/>
            </w:pPr>
            <w:r>
              <w:rPr>
                <w:sz w:val="14"/>
              </w:rPr>
              <w:t>−5.6% / 8.7% / 8.1%</w:t>
            </w:r>
          </w:p>
        </w:tc>
        <w:tc>
          <w:tcPr>
            <w:tcW w:w="3456" w:type="dxa"/>
            <w:vAlign w:val="center"/>
          </w:tcPr>
          <w:p w14:paraId="7C0BB27A" w14:textId="77777777" w:rsidR="0033298C" w:rsidRDefault="00000000">
            <w:pPr>
              <w:spacing w:after="0"/>
            </w:pPr>
            <w:r>
              <w:rPr>
                <w:sz w:val="14"/>
              </w:rPr>
              <w:t>AMFI-reported comparison shown on MFIC; snapshot 8 Oct</w:t>
            </w:r>
          </w:p>
        </w:tc>
      </w:tr>
      <w:tr w:rsidR="0033298C" w14:paraId="23D543D2" w14:textId="77777777">
        <w:trPr>
          <w:cantSplit/>
          <w:jc w:val="center"/>
        </w:trPr>
        <w:tc>
          <w:tcPr>
            <w:tcW w:w="3456" w:type="dxa"/>
            <w:shd w:val="clear" w:color="auto" w:fill="F1F4F7"/>
            <w:vAlign w:val="center"/>
          </w:tcPr>
          <w:p w14:paraId="7147FF18" w14:textId="77777777" w:rsidR="0033298C" w:rsidRDefault="00000000">
            <w:pPr>
              <w:spacing w:after="0"/>
            </w:pPr>
            <w:r>
              <w:rPr>
                <w:sz w:val="14"/>
              </w:rPr>
              <w:t>Nippon India</w:t>
            </w:r>
          </w:p>
        </w:tc>
        <w:tc>
          <w:tcPr>
            <w:tcW w:w="3456" w:type="dxa"/>
            <w:shd w:val="clear" w:color="auto" w:fill="F1F4F7"/>
            <w:vAlign w:val="center"/>
          </w:tcPr>
          <w:p w14:paraId="7212334D" w14:textId="77777777" w:rsidR="0033298C" w:rsidRDefault="00000000">
            <w:pPr>
              <w:spacing w:after="0"/>
            </w:pPr>
            <w:r>
              <w:rPr>
                <w:sz w:val="14"/>
              </w:rPr>
              <w:t>−5.6% / 8.7% / 8.1%</w:t>
            </w:r>
          </w:p>
        </w:tc>
        <w:tc>
          <w:tcPr>
            <w:tcW w:w="3456" w:type="dxa"/>
            <w:shd w:val="clear" w:color="auto" w:fill="F1F4F7"/>
            <w:vAlign w:val="center"/>
          </w:tcPr>
          <w:p w14:paraId="3F470D47" w14:textId="77777777" w:rsidR="0033298C" w:rsidRDefault="00000000">
            <w:pPr>
              <w:spacing w:after="0"/>
            </w:pPr>
            <w:r>
              <w:rPr>
                <w:sz w:val="14"/>
              </w:rPr>
              <w:t>AMFI-reported comparison shown on MFIC; snapshot 8 Oct</w:t>
            </w:r>
          </w:p>
        </w:tc>
      </w:tr>
    </w:tbl>
    <w:p w14:paraId="47979FC3" w14:textId="77777777" w:rsidR="0033298C" w:rsidRDefault="0033298C">
      <w:pPr>
        <w:spacing w:after="20"/>
      </w:pPr>
    </w:p>
    <w:p w14:paraId="1ED8D8D4" w14:textId="77777777" w:rsidR="0033298C" w:rsidRDefault="00000000">
      <w:r>
        <w:rPr>
          <w:i/>
          <w:color w:val="A54B37"/>
          <w:sz w:val="16"/>
        </w:rPr>
        <w:t>The source-reported benchmark rows are not perfectly aligned across pages: the 1Y and 3Y values differ for ICICI. Therefore, do not treat the values above as a fully reconciled common-date benchmark panel. For fund-to-fund screening, the next step is a same-date NAV-vs-TRI return extraction.</w:t>
      </w:r>
    </w:p>
    <w:p w14:paraId="00030075" w14:textId="77777777" w:rsidR="0033298C" w:rsidRDefault="00000000">
      <w:r>
        <w:br w:type="page"/>
      </w:r>
    </w:p>
    <w:p w14:paraId="0E3527E7" w14:textId="77777777" w:rsidR="0033298C" w:rsidRDefault="00000000">
      <w:pPr>
        <w:pStyle w:val="Heading1"/>
      </w:pPr>
      <w:r>
        <w:lastRenderedPageBreak/>
        <w:t>2. Risk and risk-adjusted performance</w:t>
      </w:r>
    </w:p>
    <w:p w14:paraId="28488085" w14:textId="77777777" w:rsidR="0033298C" w:rsidRDefault="00000000">
      <w:r>
        <w:t>Risk calculations below use the same provider methodology: 36 months of month-end NAV returns, annualised volatility, and a 6.5% risk-free-rate assumption. All are Regular Plan – Growth results. The source labels the benchmark for these calculations as a Nifty 500 index-fund proxy; see the methodology section.</w:t>
      </w:r>
    </w:p>
    <w:p w14:paraId="00772714" w14:textId="77777777" w:rsidR="0033298C" w:rsidRDefault="00000000">
      <w:pPr>
        <w:spacing w:after="40"/>
        <w:jc w:val="center"/>
      </w:pPr>
      <w:r>
        <w:rPr>
          <w:noProof/>
        </w:rPr>
        <w:drawing>
          <wp:inline distT="0" distB="0" distL="0" distR="0" wp14:anchorId="36927B10" wp14:editId="2C87F027">
            <wp:extent cx="6400800" cy="28961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9"/>
                    <a:stretch>
                      <a:fillRect/>
                    </a:stretch>
                  </pic:blipFill>
                  <pic:spPr>
                    <a:xfrm>
                      <a:off x="0" y="0"/>
                      <a:ext cx="6400800" cy="2896111"/>
                    </a:xfrm>
                    <a:prstGeom prst="rect">
                      <a:avLst/>
                    </a:prstGeom>
                  </pic:spPr>
                </pic:pic>
              </a:graphicData>
            </a:graphic>
          </wp:inline>
        </w:drawing>
      </w:r>
    </w:p>
    <w:p w14:paraId="7622E14C" w14:textId="77777777" w:rsidR="0033298C" w:rsidRDefault="00000000">
      <w:pPr>
        <w:spacing w:after="40"/>
        <w:jc w:val="center"/>
      </w:pPr>
      <w:r>
        <w:rPr>
          <w:noProof/>
        </w:rPr>
        <w:drawing>
          <wp:inline distT="0" distB="0" distL="0" distR="0" wp14:anchorId="7614CBC0" wp14:editId="16D97ED0">
            <wp:extent cx="6400800" cy="2964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pe_sortino.png"/>
                    <pic:cNvPicPr/>
                  </pic:nvPicPr>
                  <pic:blipFill>
                    <a:blip r:embed="rId10"/>
                    <a:stretch>
                      <a:fillRect/>
                    </a:stretch>
                  </pic:blipFill>
                  <pic:spPr>
                    <a:xfrm>
                      <a:off x="0" y="0"/>
                      <a:ext cx="6400800" cy="296439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33298C" w14:paraId="6E390154" w14:textId="77777777">
        <w:trPr>
          <w:tblHeader/>
          <w:jc w:val="center"/>
        </w:trPr>
        <w:tc>
          <w:tcPr>
            <w:tcW w:w="1728" w:type="dxa"/>
            <w:shd w:val="clear" w:color="auto" w:fill="17324D"/>
            <w:vAlign w:val="center"/>
          </w:tcPr>
          <w:p w14:paraId="332A1D8E" w14:textId="77777777" w:rsidR="0033298C" w:rsidRDefault="00000000">
            <w:pPr>
              <w:spacing w:after="0"/>
            </w:pPr>
            <w:r>
              <w:rPr>
                <w:b/>
                <w:color w:val="FFFFFF"/>
                <w:sz w:val="14"/>
              </w:rPr>
              <w:t>Scheme</w:t>
            </w:r>
          </w:p>
        </w:tc>
        <w:tc>
          <w:tcPr>
            <w:tcW w:w="1728" w:type="dxa"/>
            <w:shd w:val="clear" w:color="auto" w:fill="17324D"/>
            <w:vAlign w:val="center"/>
          </w:tcPr>
          <w:p w14:paraId="71BC9E6F" w14:textId="77777777" w:rsidR="0033298C" w:rsidRDefault="00000000">
            <w:pPr>
              <w:spacing w:after="0"/>
            </w:pPr>
            <w:r>
              <w:rPr>
                <w:b/>
                <w:color w:val="FFFFFF"/>
                <w:sz w:val="14"/>
              </w:rPr>
              <w:t>Std. dev.</w:t>
            </w:r>
          </w:p>
        </w:tc>
        <w:tc>
          <w:tcPr>
            <w:tcW w:w="1728" w:type="dxa"/>
            <w:shd w:val="clear" w:color="auto" w:fill="17324D"/>
            <w:vAlign w:val="center"/>
          </w:tcPr>
          <w:p w14:paraId="6C16FDF6" w14:textId="77777777" w:rsidR="0033298C" w:rsidRDefault="00000000">
            <w:pPr>
              <w:spacing w:after="0"/>
            </w:pPr>
            <w:r>
              <w:rPr>
                <w:b/>
                <w:color w:val="FFFFFF"/>
                <w:sz w:val="14"/>
              </w:rPr>
              <w:t>Beta</w:t>
            </w:r>
          </w:p>
        </w:tc>
        <w:tc>
          <w:tcPr>
            <w:tcW w:w="1728" w:type="dxa"/>
            <w:shd w:val="clear" w:color="auto" w:fill="17324D"/>
            <w:vAlign w:val="center"/>
          </w:tcPr>
          <w:p w14:paraId="4919A719" w14:textId="77777777" w:rsidR="0033298C" w:rsidRDefault="00000000">
            <w:pPr>
              <w:spacing w:after="0"/>
            </w:pPr>
            <w:r>
              <w:rPr>
                <w:b/>
                <w:color w:val="FFFFFF"/>
                <w:sz w:val="14"/>
              </w:rPr>
              <w:t>Sharpe</w:t>
            </w:r>
          </w:p>
        </w:tc>
        <w:tc>
          <w:tcPr>
            <w:tcW w:w="1728" w:type="dxa"/>
            <w:shd w:val="clear" w:color="auto" w:fill="17324D"/>
            <w:vAlign w:val="center"/>
          </w:tcPr>
          <w:p w14:paraId="782C5719" w14:textId="77777777" w:rsidR="0033298C" w:rsidRDefault="00000000">
            <w:pPr>
              <w:spacing w:after="0"/>
            </w:pPr>
            <w:r>
              <w:rPr>
                <w:b/>
                <w:color w:val="FFFFFF"/>
                <w:sz w:val="14"/>
              </w:rPr>
              <w:t>Sortino</w:t>
            </w:r>
          </w:p>
        </w:tc>
        <w:tc>
          <w:tcPr>
            <w:tcW w:w="1728" w:type="dxa"/>
            <w:shd w:val="clear" w:color="auto" w:fill="17324D"/>
            <w:vAlign w:val="center"/>
          </w:tcPr>
          <w:p w14:paraId="5816654C" w14:textId="77777777" w:rsidR="0033298C" w:rsidRDefault="00000000">
            <w:pPr>
              <w:spacing w:after="0"/>
            </w:pPr>
            <w:r>
              <w:rPr>
                <w:b/>
                <w:color w:val="FFFFFF"/>
                <w:sz w:val="14"/>
              </w:rPr>
              <w:t>Alpha (ann.)</w:t>
            </w:r>
          </w:p>
        </w:tc>
      </w:tr>
      <w:tr w:rsidR="0033298C" w14:paraId="0EEBF847" w14:textId="77777777">
        <w:trPr>
          <w:cantSplit/>
          <w:jc w:val="center"/>
        </w:trPr>
        <w:tc>
          <w:tcPr>
            <w:tcW w:w="1728" w:type="dxa"/>
            <w:vAlign w:val="center"/>
          </w:tcPr>
          <w:p w14:paraId="1BF4E2DD" w14:textId="77777777" w:rsidR="0033298C" w:rsidRDefault="00000000">
            <w:pPr>
              <w:spacing w:after="0"/>
            </w:pPr>
            <w:r>
              <w:rPr>
                <w:sz w:val="14"/>
              </w:rPr>
              <w:t>HDFC</w:t>
            </w:r>
          </w:p>
        </w:tc>
        <w:tc>
          <w:tcPr>
            <w:tcW w:w="1728" w:type="dxa"/>
            <w:vAlign w:val="center"/>
          </w:tcPr>
          <w:p w14:paraId="1CAFE8C4" w14:textId="77777777" w:rsidR="0033298C" w:rsidRDefault="00000000">
            <w:pPr>
              <w:spacing w:after="0"/>
            </w:pPr>
            <w:r>
              <w:rPr>
                <w:sz w:val="14"/>
              </w:rPr>
              <w:t>15.7%</w:t>
            </w:r>
          </w:p>
        </w:tc>
        <w:tc>
          <w:tcPr>
            <w:tcW w:w="1728" w:type="dxa"/>
            <w:vAlign w:val="center"/>
          </w:tcPr>
          <w:p w14:paraId="23816EB0" w14:textId="77777777" w:rsidR="0033298C" w:rsidRDefault="00000000">
            <w:pPr>
              <w:spacing w:after="0"/>
            </w:pPr>
            <w:r>
              <w:rPr>
                <w:sz w:val="14"/>
              </w:rPr>
              <w:t>0.99</w:t>
            </w:r>
          </w:p>
        </w:tc>
        <w:tc>
          <w:tcPr>
            <w:tcW w:w="1728" w:type="dxa"/>
            <w:vAlign w:val="center"/>
          </w:tcPr>
          <w:p w14:paraId="3780145B" w14:textId="77777777" w:rsidR="0033298C" w:rsidRDefault="00000000">
            <w:pPr>
              <w:spacing w:after="0"/>
            </w:pPr>
            <w:r>
              <w:rPr>
                <w:sz w:val="14"/>
              </w:rPr>
              <w:t>0.51</w:t>
            </w:r>
          </w:p>
        </w:tc>
        <w:tc>
          <w:tcPr>
            <w:tcW w:w="1728" w:type="dxa"/>
            <w:vAlign w:val="center"/>
          </w:tcPr>
          <w:p w14:paraId="4799A64C" w14:textId="77777777" w:rsidR="0033298C" w:rsidRDefault="00000000">
            <w:pPr>
              <w:spacing w:after="0"/>
            </w:pPr>
            <w:r>
              <w:rPr>
                <w:sz w:val="14"/>
              </w:rPr>
              <w:t>0.78</w:t>
            </w:r>
          </w:p>
        </w:tc>
        <w:tc>
          <w:tcPr>
            <w:tcW w:w="1728" w:type="dxa"/>
            <w:vAlign w:val="center"/>
          </w:tcPr>
          <w:p w14:paraId="6C8D9723" w14:textId="77777777" w:rsidR="0033298C" w:rsidRDefault="00000000">
            <w:pPr>
              <w:spacing w:after="0"/>
            </w:pPr>
            <w:r>
              <w:rPr>
                <w:sz w:val="14"/>
              </w:rPr>
              <w:t>4.6%</w:t>
            </w:r>
          </w:p>
        </w:tc>
      </w:tr>
      <w:tr w:rsidR="0033298C" w14:paraId="577BE877" w14:textId="77777777">
        <w:trPr>
          <w:cantSplit/>
          <w:jc w:val="center"/>
        </w:trPr>
        <w:tc>
          <w:tcPr>
            <w:tcW w:w="1728" w:type="dxa"/>
            <w:shd w:val="clear" w:color="auto" w:fill="F1F4F7"/>
            <w:vAlign w:val="center"/>
          </w:tcPr>
          <w:p w14:paraId="0DA07843" w14:textId="77777777" w:rsidR="0033298C" w:rsidRDefault="00000000">
            <w:pPr>
              <w:spacing w:after="0"/>
            </w:pPr>
            <w:r>
              <w:rPr>
                <w:sz w:val="14"/>
              </w:rPr>
              <w:t>ICICI Pru</w:t>
            </w:r>
          </w:p>
        </w:tc>
        <w:tc>
          <w:tcPr>
            <w:tcW w:w="1728" w:type="dxa"/>
            <w:shd w:val="clear" w:color="auto" w:fill="F1F4F7"/>
            <w:vAlign w:val="center"/>
          </w:tcPr>
          <w:p w14:paraId="60326C38" w14:textId="77777777" w:rsidR="0033298C" w:rsidRDefault="00000000">
            <w:pPr>
              <w:spacing w:after="0"/>
            </w:pPr>
            <w:r>
              <w:rPr>
                <w:sz w:val="14"/>
              </w:rPr>
              <w:t>13.1%</w:t>
            </w:r>
          </w:p>
        </w:tc>
        <w:tc>
          <w:tcPr>
            <w:tcW w:w="1728" w:type="dxa"/>
            <w:shd w:val="clear" w:color="auto" w:fill="F1F4F7"/>
            <w:vAlign w:val="center"/>
          </w:tcPr>
          <w:p w14:paraId="096E7DEF" w14:textId="77777777" w:rsidR="0033298C" w:rsidRDefault="00000000">
            <w:pPr>
              <w:spacing w:after="0"/>
            </w:pPr>
            <w:r>
              <w:rPr>
                <w:sz w:val="14"/>
              </w:rPr>
              <w:t>0.79</w:t>
            </w:r>
          </w:p>
        </w:tc>
        <w:tc>
          <w:tcPr>
            <w:tcW w:w="1728" w:type="dxa"/>
            <w:shd w:val="clear" w:color="auto" w:fill="F1F4F7"/>
            <w:vAlign w:val="center"/>
          </w:tcPr>
          <w:p w14:paraId="6EE1E847" w14:textId="77777777" w:rsidR="0033298C" w:rsidRDefault="00000000">
            <w:pPr>
              <w:spacing w:after="0"/>
            </w:pPr>
            <w:r>
              <w:rPr>
                <w:sz w:val="14"/>
              </w:rPr>
              <w:t>0.33</w:t>
            </w:r>
          </w:p>
        </w:tc>
        <w:tc>
          <w:tcPr>
            <w:tcW w:w="1728" w:type="dxa"/>
            <w:shd w:val="clear" w:color="auto" w:fill="F1F4F7"/>
            <w:vAlign w:val="center"/>
          </w:tcPr>
          <w:p w14:paraId="6B98DD4F" w14:textId="77777777" w:rsidR="0033298C" w:rsidRDefault="00000000">
            <w:pPr>
              <w:spacing w:after="0"/>
            </w:pPr>
            <w:r>
              <w:rPr>
                <w:sz w:val="14"/>
              </w:rPr>
              <w:t>0.48</w:t>
            </w:r>
          </w:p>
        </w:tc>
        <w:tc>
          <w:tcPr>
            <w:tcW w:w="1728" w:type="dxa"/>
            <w:shd w:val="clear" w:color="auto" w:fill="F1F4F7"/>
            <w:vAlign w:val="center"/>
          </w:tcPr>
          <w:p w14:paraId="626F00BB" w14:textId="77777777" w:rsidR="0033298C" w:rsidRDefault="00000000">
            <w:pPr>
              <w:spacing w:after="0"/>
            </w:pPr>
            <w:r>
              <w:rPr>
                <w:sz w:val="14"/>
              </w:rPr>
              <w:t>1.3%</w:t>
            </w:r>
          </w:p>
        </w:tc>
      </w:tr>
      <w:tr w:rsidR="0033298C" w14:paraId="5D41FDBA" w14:textId="77777777">
        <w:trPr>
          <w:cantSplit/>
          <w:jc w:val="center"/>
        </w:trPr>
        <w:tc>
          <w:tcPr>
            <w:tcW w:w="1728" w:type="dxa"/>
            <w:vAlign w:val="center"/>
          </w:tcPr>
          <w:p w14:paraId="4791F199" w14:textId="77777777" w:rsidR="0033298C" w:rsidRDefault="00000000">
            <w:pPr>
              <w:spacing w:after="0"/>
            </w:pPr>
            <w:r>
              <w:rPr>
                <w:sz w:val="14"/>
              </w:rPr>
              <w:t>Axis</w:t>
            </w:r>
          </w:p>
        </w:tc>
        <w:tc>
          <w:tcPr>
            <w:tcW w:w="1728" w:type="dxa"/>
            <w:vAlign w:val="center"/>
          </w:tcPr>
          <w:p w14:paraId="44EE68A7" w14:textId="77777777" w:rsidR="0033298C" w:rsidRDefault="00000000">
            <w:pPr>
              <w:spacing w:after="0"/>
            </w:pPr>
            <w:r>
              <w:rPr>
                <w:sz w:val="14"/>
              </w:rPr>
              <w:t>15.3%</w:t>
            </w:r>
          </w:p>
        </w:tc>
        <w:tc>
          <w:tcPr>
            <w:tcW w:w="1728" w:type="dxa"/>
            <w:vAlign w:val="center"/>
          </w:tcPr>
          <w:p w14:paraId="0931A1FE" w14:textId="77777777" w:rsidR="0033298C" w:rsidRDefault="00000000">
            <w:pPr>
              <w:spacing w:after="0"/>
            </w:pPr>
            <w:r>
              <w:rPr>
                <w:sz w:val="14"/>
              </w:rPr>
              <w:t>0.96</w:t>
            </w:r>
          </w:p>
        </w:tc>
        <w:tc>
          <w:tcPr>
            <w:tcW w:w="1728" w:type="dxa"/>
            <w:vAlign w:val="center"/>
          </w:tcPr>
          <w:p w14:paraId="50204026" w14:textId="77777777" w:rsidR="0033298C" w:rsidRDefault="00000000">
            <w:pPr>
              <w:spacing w:after="0"/>
            </w:pPr>
            <w:r>
              <w:rPr>
                <w:sz w:val="14"/>
              </w:rPr>
              <w:t>0.63</w:t>
            </w:r>
          </w:p>
        </w:tc>
        <w:tc>
          <w:tcPr>
            <w:tcW w:w="1728" w:type="dxa"/>
            <w:vAlign w:val="center"/>
          </w:tcPr>
          <w:p w14:paraId="0049D876" w14:textId="77777777" w:rsidR="0033298C" w:rsidRDefault="00000000">
            <w:pPr>
              <w:spacing w:after="0"/>
            </w:pPr>
            <w:r>
              <w:rPr>
                <w:sz w:val="14"/>
              </w:rPr>
              <w:t>0.94</w:t>
            </w:r>
          </w:p>
        </w:tc>
        <w:tc>
          <w:tcPr>
            <w:tcW w:w="1728" w:type="dxa"/>
            <w:vAlign w:val="center"/>
          </w:tcPr>
          <w:p w14:paraId="2C01D480" w14:textId="77777777" w:rsidR="0033298C" w:rsidRDefault="00000000">
            <w:pPr>
              <w:spacing w:after="0"/>
            </w:pPr>
            <w:r>
              <w:rPr>
                <w:sz w:val="14"/>
              </w:rPr>
              <w:t>6.4%</w:t>
            </w:r>
          </w:p>
        </w:tc>
      </w:tr>
      <w:tr w:rsidR="0033298C" w14:paraId="1F496F32" w14:textId="77777777">
        <w:trPr>
          <w:cantSplit/>
          <w:jc w:val="center"/>
        </w:trPr>
        <w:tc>
          <w:tcPr>
            <w:tcW w:w="1728" w:type="dxa"/>
            <w:shd w:val="clear" w:color="auto" w:fill="F1F4F7"/>
            <w:vAlign w:val="center"/>
          </w:tcPr>
          <w:p w14:paraId="47AFBEE2" w14:textId="77777777" w:rsidR="0033298C" w:rsidRDefault="00000000">
            <w:pPr>
              <w:spacing w:after="0"/>
            </w:pPr>
            <w:r>
              <w:rPr>
                <w:sz w:val="14"/>
              </w:rPr>
              <w:t>DSP</w:t>
            </w:r>
          </w:p>
        </w:tc>
        <w:tc>
          <w:tcPr>
            <w:tcW w:w="1728" w:type="dxa"/>
            <w:shd w:val="clear" w:color="auto" w:fill="F1F4F7"/>
            <w:vAlign w:val="center"/>
          </w:tcPr>
          <w:p w14:paraId="3C3AB6AC" w14:textId="77777777" w:rsidR="0033298C" w:rsidRDefault="00000000">
            <w:pPr>
              <w:spacing w:after="0"/>
            </w:pPr>
            <w:r>
              <w:rPr>
                <w:sz w:val="14"/>
              </w:rPr>
              <w:t>11.4%</w:t>
            </w:r>
          </w:p>
        </w:tc>
        <w:tc>
          <w:tcPr>
            <w:tcW w:w="1728" w:type="dxa"/>
            <w:shd w:val="clear" w:color="auto" w:fill="F1F4F7"/>
            <w:vAlign w:val="center"/>
          </w:tcPr>
          <w:p w14:paraId="337EC4C5" w14:textId="77777777" w:rsidR="0033298C" w:rsidRDefault="00000000">
            <w:pPr>
              <w:spacing w:after="0"/>
            </w:pPr>
            <w:r>
              <w:rPr>
                <w:sz w:val="14"/>
              </w:rPr>
              <w:t>0.67</w:t>
            </w:r>
          </w:p>
        </w:tc>
        <w:tc>
          <w:tcPr>
            <w:tcW w:w="1728" w:type="dxa"/>
            <w:shd w:val="clear" w:color="auto" w:fill="F1F4F7"/>
            <w:vAlign w:val="center"/>
          </w:tcPr>
          <w:p w14:paraId="214F7CB4" w14:textId="77777777" w:rsidR="0033298C" w:rsidRDefault="00000000">
            <w:pPr>
              <w:spacing w:after="0"/>
            </w:pPr>
            <w:r>
              <w:rPr>
                <w:sz w:val="14"/>
              </w:rPr>
              <w:t>0.72</w:t>
            </w:r>
          </w:p>
        </w:tc>
        <w:tc>
          <w:tcPr>
            <w:tcW w:w="1728" w:type="dxa"/>
            <w:shd w:val="clear" w:color="auto" w:fill="F1F4F7"/>
            <w:vAlign w:val="center"/>
          </w:tcPr>
          <w:p w14:paraId="016FD5A5" w14:textId="77777777" w:rsidR="0033298C" w:rsidRDefault="00000000">
            <w:pPr>
              <w:spacing w:after="0"/>
            </w:pPr>
            <w:r>
              <w:rPr>
                <w:sz w:val="14"/>
              </w:rPr>
              <w:t>1.17</w:t>
            </w:r>
          </w:p>
        </w:tc>
        <w:tc>
          <w:tcPr>
            <w:tcW w:w="1728" w:type="dxa"/>
            <w:shd w:val="clear" w:color="auto" w:fill="F1F4F7"/>
            <w:vAlign w:val="center"/>
          </w:tcPr>
          <w:p w14:paraId="3A63BCA9" w14:textId="77777777" w:rsidR="0033298C" w:rsidRDefault="00000000">
            <w:pPr>
              <w:spacing w:after="0"/>
            </w:pPr>
            <w:r>
              <w:rPr>
                <w:sz w:val="14"/>
              </w:rPr>
              <w:t>6.3%</w:t>
            </w:r>
          </w:p>
        </w:tc>
      </w:tr>
      <w:tr w:rsidR="0033298C" w14:paraId="1692F744" w14:textId="77777777">
        <w:trPr>
          <w:cantSplit/>
          <w:jc w:val="center"/>
        </w:trPr>
        <w:tc>
          <w:tcPr>
            <w:tcW w:w="1728" w:type="dxa"/>
            <w:vAlign w:val="center"/>
          </w:tcPr>
          <w:p w14:paraId="5F3BA143" w14:textId="77777777" w:rsidR="0033298C" w:rsidRDefault="00000000">
            <w:pPr>
              <w:spacing w:after="0"/>
            </w:pPr>
            <w:r>
              <w:rPr>
                <w:sz w:val="14"/>
              </w:rPr>
              <w:t>ABSL</w:t>
            </w:r>
          </w:p>
        </w:tc>
        <w:tc>
          <w:tcPr>
            <w:tcW w:w="1728" w:type="dxa"/>
            <w:vAlign w:val="center"/>
          </w:tcPr>
          <w:p w14:paraId="0DA667DA" w14:textId="77777777" w:rsidR="0033298C" w:rsidRDefault="00000000">
            <w:pPr>
              <w:spacing w:after="0"/>
            </w:pPr>
            <w:r>
              <w:rPr>
                <w:sz w:val="14"/>
              </w:rPr>
              <w:t>17.9%</w:t>
            </w:r>
          </w:p>
        </w:tc>
        <w:tc>
          <w:tcPr>
            <w:tcW w:w="1728" w:type="dxa"/>
            <w:vAlign w:val="center"/>
          </w:tcPr>
          <w:p w14:paraId="43EAC7DF" w14:textId="77777777" w:rsidR="0033298C" w:rsidRDefault="00000000">
            <w:pPr>
              <w:spacing w:after="0"/>
            </w:pPr>
            <w:r>
              <w:rPr>
                <w:sz w:val="14"/>
              </w:rPr>
              <w:t>1.09</w:t>
            </w:r>
          </w:p>
        </w:tc>
        <w:tc>
          <w:tcPr>
            <w:tcW w:w="1728" w:type="dxa"/>
            <w:vAlign w:val="center"/>
          </w:tcPr>
          <w:p w14:paraId="2102A043" w14:textId="77777777" w:rsidR="0033298C" w:rsidRDefault="00000000">
            <w:pPr>
              <w:spacing w:after="0"/>
            </w:pPr>
            <w:r>
              <w:rPr>
                <w:sz w:val="14"/>
              </w:rPr>
              <w:t>0.34</w:t>
            </w:r>
          </w:p>
        </w:tc>
        <w:tc>
          <w:tcPr>
            <w:tcW w:w="1728" w:type="dxa"/>
            <w:vAlign w:val="center"/>
          </w:tcPr>
          <w:p w14:paraId="7CCAF38B" w14:textId="77777777" w:rsidR="0033298C" w:rsidRDefault="00000000">
            <w:pPr>
              <w:spacing w:after="0"/>
            </w:pPr>
            <w:r>
              <w:rPr>
                <w:sz w:val="14"/>
              </w:rPr>
              <w:t>0.53</w:t>
            </w:r>
          </w:p>
        </w:tc>
        <w:tc>
          <w:tcPr>
            <w:tcW w:w="1728" w:type="dxa"/>
            <w:vAlign w:val="center"/>
          </w:tcPr>
          <w:p w14:paraId="10EE0719" w14:textId="77777777" w:rsidR="0033298C" w:rsidRDefault="00000000">
            <w:pPr>
              <w:spacing w:after="0"/>
            </w:pPr>
            <w:r>
              <w:rPr>
                <w:sz w:val="14"/>
              </w:rPr>
              <w:t>2.4%</w:t>
            </w:r>
          </w:p>
        </w:tc>
      </w:tr>
      <w:tr w:rsidR="0033298C" w14:paraId="1D995D99" w14:textId="77777777">
        <w:trPr>
          <w:cantSplit/>
          <w:jc w:val="center"/>
        </w:trPr>
        <w:tc>
          <w:tcPr>
            <w:tcW w:w="1728" w:type="dxa"/>
            <w:shd w:val="clear" w:color="auto" w:fill="F1F4F7"/>
            <w:vAlign w:val="center"/>
          </w:tcPr>
          <w:p w14:paraId="1F24B37D" w14:textId="77777777" w:rsidR="0033298C" w:rsidRDefault="00000000">
            <w:pPr>
              <w:spacing w:after="0"/>
            </w:pPr>
            <w:r>
              <w:rPr>
                <w:sz w:val="14"/>
              </w:rPr>
              <w:t>Nippon</w:t>
            </w:r>
          </w:p>
        </w:tc>
        <w:tc>
          <w:tcPr>
            <w:tcW w:w="1728" w:type="dxa"/>
            <w:shd w:val="clear" w:color="auto" w:fill="F1F4F7"/>
            <w:vAlign w:val="center"/>
          </w:tcPr>
          <w:p w14:paraId="5E067655" w14:textId="77777777" w:rsidR="0033298C" w:rsidRDefault="00000000">
            <w:pPr>
              <w:spacing w:after="0"/>
            </w:pPr>
            <w:r>
              <w:rPr>
                <w:sz w:val="14"/>
              </w:rPr>
              <w:t>16.4%</w:t>
            </w:r>
          </w:p>
        </w:tc>
        <w:tc>
          <w:tcPr>
            <w:tcW w:w="1728" w:type="dxa"/>
            <w:shd w:val="clear" w:color="auto" w:fill="F1F4F7"/>
            <w:vAlign w:val="center"/>
          </w:tcPr>
          <w:p w14:paraId="38F6965D" w14:textId="77777777" w:rsidR="0033298C" w:rsidRDefault="00000000">
            <w:pPr>
              <w:spacing w:after="0"/>
            </w:pPr>
            <w:r>
              <w:rPr>
                <w:sz w:val="14"/>
              </w:rPr>
              <w:t>1.03</w:t>
            </w:r>
          </w:p>
        </w:tc>
        <w:tc>
          <w:tcPr>
            <w:tcW w:w="1728" w:type="dxa"/>
            <w:shd w:val="clear" w:color="auto" w:fill="F1F4F7"/>
            <w:vAlign w:val="center"/>
          </w:tcPr>
          <w:p w14:paraId="66F32E72" w14:textId="77777777" w:rsidR="0033298C" w:rsidRDefault="00000000">
            <w:pPr>
              <w:spacing w:after="0"/>
            </w:pPr>
            <w:r>
              <w:rPr>
                <w:sz w:val="14"/>
              </w:rPr>
              <w:t>0.31</w:t>
            </w:r>
          </w:p>
        </w:tc>
        <w:tc>
          <w:tcPr>
            <w:tcW w:w="1728" w:type="dxa"/>
            <w:shd w:val="clear" w:color="auto" w:fill="F1F4F7"/>
            <w:vAlign w:val="center"/>
          </w:tcPr>
          <w:p w14:paraId="1A49C241" w14:textId="77777777" w:rsidR="0033298C" w:rsidRDefault="00000000">
            <w:pPr>
              <w:spacing w:after="0"/>
            </w:pPr>
            <w:r>
              <w:rPr>
                <w:sz w:val="14"/>
              </w:rPr>
              <w:t>0.47</w:t>
            </w:r>
          </w:p>
        </w:tc>
        <w:tc>
          <w:tcPr>
            <w:tcW w:w="1728" w:type="dxa"/>
            <w:shd w:val="clear" w:color="auto" w:fill="F1F4F7"/>
            <w:vAlign w:val="center"/>
          </w:tcPr>
          <w:p w14:paraId="1AADEE3D" w14:textId="77777777" w:rsidR="0033298C" w:rsidRDefault="00000000">
            <w:pPr>
              <w:spacing w:after="0"/>
            </w:pPr>
            <w:r>
              <w:rPr>
                <w:sz w:val="14"/>
              </w:rPr>
              <w:t>1.5%</w:t>
            </w:r>
          </w:p>
        </w:tc>
      </w:tr>
    </w:tbl>
    <w:p w14:paraId="1FA87C58" w14:textId="77777777" w:rsidR="0033298C" w:rsidRDefault="0033298C">
      <w:pPr>
        <w:spacing w:after="20"/>
      </w:pPr>
    </w:p>
    <w:p w14:paraId="1DB6F391" w14:textId="77777777" w:rsidR="0033298C" w:rsidRDefault="00000000">
      <w:pPr>
        <w:pStyle w:val="Heading2"/>
      </w:pPr>
      <w:r>
        <w:t>Interpretation</w:t>
      </w:r>
    </w:p>
    <w:p w14:paraId="0EAAD2FA" w14:textId="77777777" w:rsidR="0033298C" w:rsidRDefault="00000000">
      <w:pPr>
        <w:pStyle w:val="ListBullet"/>
        <w:spacing w:after="40"/>
      </w:pPr>
      <w:r>
        <w:t>DSP has the lowest reported volatility and beta and the highest Sortino in the six-fund set. Its lower downside capture is accompanied by weaker upside capture.</w:t>
      </w:r>
    </w:p>
    <w:p w14:paraId="4A6C775E" w14:textId="77777777" w:rsidR="0033298C" w:rsidRDefault="00000000">
      <w:pPr>
        <w:pStyle w:val="ListBullet"/>
        <w:spacing w:after="40"/>
      </w:pPr>
      <w:r>
        <w:t>Axis has the highest reported alpha (6.4%) and a high Sortino (0.94) in the comparable MFIC snapshot, with volatility close to category median.</w:t>
      </w:r>
    </w:p>
    <w:p w14:paraId="3E2C33FB" w14:textId="77777777" w:rsidR="0033298C" w:rsidRDefault="00000000">
      <w:pPr>
        <w:pStyle w:val="ListBullet"/>
        <w:spacing w:after="40"/>
      </w:pPr>
      <w:r>
        <w:t>ABSL has the highest volatility (17.9%) and beta (1.09), indicating the greatest recent variability and sensitivity in this set.</w:t>
      </w:r>
    </w:p>
    <w:p w14:paraId="40D2EE10" w14:textId="77777777" w:rsidR="0033298C" w:rsidRDefault="00000000">
      <w:pPr>
        <w:pStyle w:val="Heading1"/>
        <w:pageBreakBefore/>
      </w:pPr>
      <w:r>
        <w:lastRenderedPageBreak/>
        <w:t>3. Upside and downside capture</w:t>
      </w:r>
    </w:p>
    <w:p w14:paraId="7703B965" w14:textId="77777777" w:rsidR="0033298C" w:rsidRDefault="00000000">
      <w:r>
        <w:t>Capture ratios estimate a fund’s participation in benchmark-up and benchmark-down months. Upside capture above 100 means stronger participation in rises; downside capture below 100 means the fund participated less in market declines. The ratios below are the same provider’s rolling 36-month monthly-return calculations.</w:t>
      </w:r>
    </w:p>
    <w:p w14:paraId="64EC52DF" w14:textId="77777777" w:rsidR="0033298C" w:rsidRDefault="00000000">
      <w:pPr>
        <w:spacing w:after="40"/>
        <w:jc w:val="center"/>
      </w:pPr>
      <w:r>
        <w:rPr>
          <w:noProof/>
        </w:rPr>
        <w:drawing>
          <wp:inline distT="0" distB="0" distL="0" distR="0" wp14:anchorId="30E2A0FE" wp14:editId="0147094B">
            <wp:extent cx="6400800" cy="3107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11"/>
                    <a:stretch>
                      <a:fillRect/>
                    </a:stretch>
                  </pic:blipFill>
                  <pic:spPr>
                    <a:xfrm>
                      <a:off x="0" y="0"/>
                      <a:ext cx="6400800" cy="3107428"/>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592"/>
        <w:gridCol w:w="2592"/>
        <w:gridCol w:w="2592"/>
        <w:gridCol w:w="2592"/>
      </w:tblGrid>
      <w:tr w:rsidR="0033298C" w14:paraId="4C97FD47" w14:textId="77777777">
        <w:trPr>
          <w:tblHeader/>
          <w:jc w:val="center"/>
        </w:trPr>
        <w:tc>
          <w:tcPr>
            <w:tcW w:w="2592" w:type="dxa"/>
            <w:shd w:val="clear" w:color="auto" w:fill="17324D"/>
            <w:vAlign w:val="center"/>
          </w:tcPr>
          <w:p w14:paraId="59342687" w14:textId="77777777" w:rsidR="0033298C" w:rsidRDefault="00000000">
            <w:pPr>
              <w:spacing w:after="0"/>
            </w:pPr>
            <w:r>
              <w:rPr>
                <w:b/>
                <w:color w:val="FFFFFF"/>
                <w:sz w:val="14"/>
              </w:rPr>
              <w:t>Scheme</w:t>
            </w:r>
          </w:p>
        </w:tc>
        <w:tc>
          <w:tcPr>
            <w:tcW w:w="2592" w:type="dxa"/>
            <w:shd w:val="clear" w:color="auto" w:fill="17324D"/>
            <w:vAlign w:val="center"/>
          </w:tcPr>
          <w:p w14:paraId="40B6EA00" w14:textId="77777777" w:rsidR="0033298C" w:rsidRDefault="00000000">
            <w:pPr>
              <w:spacing w:after="0"/>
            </w:pPr>
            <w:r>
              <w:rPr>
                <w:b/>
                <w:color w:val="FFFFFF"/>
                <w:sz w:val="14"/>
              </w:rPr>
              <w:t>Upside capture</w:t>
            </w:r>
          </w:p>
        </w:tc>
        <w:tc>
          <w:tcPr>
            <w:tcW w:w="2592" w:type="dxa"/>
            <w:shd w:val="clear" w:color="auto" w:fill="17324D"/>
            <w:vAlign w:val="center"/>
          </w:tcPr>
          <w:p w14:paraId="443BDD7D" w14:textId="77777777" w:rsidR="0033298C" w:rsidRDefault="00000000">
            <w:pPr>
              <w:spacing w:after="0"/>
            </w:pPr>
            <w:r>
              <w:rPr>
                <w:b/>
                <w:color w:val="FFFFFF"/>
                <w:sz w:val="14"/>
              </w:rPr>
              <w:t>Downside capture</w:t>
            </w:r>
          </w:p>
        </w:tc>
        <w:tc>
          <w:tcPr>
            <w:tcW w:w="2592" w:type="dxa"/>
            <w:shd w:val="clear" w:color="auto" w:fill="17324D"/>
            <w:vAlign w:val="center"/>
          </w:tcPr>
          <w:p w14:paraId="47ACD5EF" w14:textId="77777777" w:rsidR="0033298C" w:rsidRDefault="00000000">
            <w:pPr>
              <w:spacing w:after="0"/>
            </w:pPr>
            <w:r>
              <w:rPr>
                <w:b/>
                <w:color w:val="FFFFFF"/>
                <w:sz w:val="14"/>
              </w:rPr>
              <w:t>Read-through</w:t>
            </w:r>
          </w:p>
        </w:tc>
      </w:tr>
      <w:tr w:rsidR="0033298C" w14:paraId="27CFD53E" w14:textId="77777777">
        <w:trPr>
          <w:cantSplit/>
          <w:jc w:val="center"/>
        </w:trPr>
        <w:tc>
          <w:tcPr>
            <w:tcW w:w="2592" w:type="dxa"/>
            <w:vAlign w:val="center"/>
          </w:tcPr>
          <w:p w14:paraId="7DDC6342" w14:textId="77777777" w:rsidR="0033298C" w:rsidRDefault="00000000">
            <w:pPr>
              <w:spacing w:after="0"/>
            </w:pPr>
            <w:r>
              <w:rPr>
                <w:sz w:val="14"/>
              </w:rPr>
              <w:t>HDFC</w:t>
            </w:r>
          </w:p>
        </w:tc>
        <w:tc>
          <w:tcPr>
            <w:tcW w:w="2592" w:type="dxa"/>
            <w:vAlign w:val="center"/>
          </w:tcPr>
          <w:p w14:paraId="0AD8CC59" w14:textId="77777777" w:rsidR="0033298C" w:rsidRDefault="00000000">
            <w:pPr>
              <w:spacing w:after="0"/>
            </w:pPr>
            <w:r>
              <w:rPr>
                <w:sz w:val="14"/>
              </w:rPr>
              <w:t>114.87%</w:t>
            </w:r>
          </w:p>
        </w:tc>
        <w:tc>
          <w:tcPr>
            <w:tcW w:w="2592" w:type="dxa"/>
            <w:vAlign w:val="center"/>
          </w:tcPr>
          <w:p w14:paraId="3A241F11" w14:textId="77777777" w:rsidR="0033298C" w:rsidRDefault="00000000">
            <w:pPr>
              <w:spacing w:after="0"/>
            </w:pPr>
            <w:r>
              <w:rPr>
                <w:sz w:val="14"/>
              </w:rPr>
              <w:t>94.88%</w:t>
            </w:r>
          </w:p>
        </w:tc>
        <w:tc>
          <w:tcPr>
            <w:tcW w:w="2592" w:type="dxa"/>
            <w:vAlign w:val="center"/>
          </w:tcPr>
          <w:p w14:paraId="16C89383" w14:textId="77777777" w:rsidR="0033298C" w:rsidRDefault="00000000">
            <w:pPr>
              <w:spacing w:after="0"/>
            </w:pPr>
            <w:r>
              <w:rPr>
                <w:sz w:val="14"/>
              </w:rPr>
              <w:t>Upside &gt; benchmark; downside &lt; benchmark</w:t>
            </w:r>
          </w:p>
        </w:tc>
      </w:tr>
      <w:tr w:rsidR="0033298C" w14:paraId="5FD5C732" w14:textId="77777777">
        <w:trPr>
          <w:cantSplit/>
          <w:jc w:val="center"/>
        </w:trPr>
        <w:tc>
          <w:tcPr>
            <w:tcW w:w="2592" w:type="dxa"/>
            <w:shd w:val="clear" w:color="auto" w:fill="F1F4F7"/>
            <w:vAlign w:val="center"/>
          </w:tcPr>
          <w:p w14:paraId="6B347E64" w14:textId="77777777" w:rsidR="0033298C" w:rsidRDefault="00000000">
            <w:pPr>
              <w:spacing w:after="0"/>
            </w:pPr>
            <w:r>
              <w:rPr>
                <w:sz w:val="14"/>
              </w:rPr>
              <w:t>ICICI Pru</w:t>
            </w:r>
          </w:p>
        </w:tc>
        <w:tc>
          <w:tcPr>
            <w:tcW w:w="2592" w:type="dxa"/>
            <w:shd w:val="clear" w:color="auto" w:fill="F1F4F7"/>
            <w:vAlign w:val="center"/>
          </w:tcPr>
          <w:p w14:paraId="57E1BE7C" w14:textId="77777777" w:rsidR="0033298C" w:rsidRDefault="00000000">
            <w:pPr>
              <w:spacing w:after="0"/>
            </w:pPr>
            <w:r>
              <w:rPr>
                <w:sz w:val="14"/>
              </w:rPr>
              <w:t>84.99%</w:t>
            </w:r>
          </w:p>
        </w:tc>
        <w:tc>
          <w:tcPr>
            <w:tcW w:w="2592" w:type="dxa"/>
            <w:shd w:val="clear" w:color="auto" w:fill="F1F4F7"/>
            <w:vAlign w:val="center"/>
          </w:tcPr>
          <w:p w14:paraId="0A557424" w14:textId="77777777" w:rsidR="0033298C" w:rsidRDefault="00000000">
            <w:pPr>
              <w:spacing w:after="0"/>
            </w:pPr>
            <w:r>
              <w:rPr>
                <w:sz w:val="14"/>
              </w:rPr>
              <w:t>79.99%</w:t>
            </w:r>
          </w:p>
        </w:tc>
        <w:tc>
          <w:tcPr>
            <w:tcW w:w="2592" w:type="dxa"/>
            <w:shd w:val="clear" w:color="auto" w:fill="F1F4F7"/>
            <w:vAlign w:val="center"/>
          </w:tcPr>
          <w:p w14:paraId="0B553B6F" w14:textId="77777777" w:rsidR="0033298C" w:rsidRDefault="00000000">
            <w:pPr>
              <w:spacing w:after="0"/>
            </w:pPr>
            <w:r>
              <w:rPr>
                <w:sz w:val="14"/>
              </w:rPr>
              <w:t>Lower participation in both directions</w:t>
            </w:r>
          </w:p>
        </w:tc>
      </w:tr>
      <w:tr w:rsidR="0033298C" w14:paraId="6FE80FDE" w14:textId="77777777">
        <w:trPr>
          <w:cantSplit/>
          <w:jc w:val="center"/>
        </w:trPr>
        <w:tc>
          <w:tcPr>
            <w:tcW w:w="2592" w:type="dxa"/>
            <w:vAlign w:val="center"/>
          </w:tcPr>
          <w:p w14:paraId="2747BA02" w14:textId="77777777" w:rsidR="0033298C" w:rsidRDefault="00000000">
            <w:pPr>
              <w:spacing w:after="0"/>
            </w:pPr>
            <w:r>
              <w:rPr>
                <w:sz w:val="14"/>
              </w:rPr>
              <w:t>Axis</w:t>
            </w:r>
          </w:p>
        </w:tc>
        <w:tc>
          <w:tcPr>
            <w:tcW w:w="2592" w:type="dxa"/>
            <w:vAlign w:val="center"/>
          </w:tcPr>
          <w:p w14:paraId="05B7A756" w14:textId="77777777" w:rsidR="0033298C" w:rsidRDefault="00000000">
            <w:pPr>
              <w:spacing w:after="0"/>
            </w:pPr>
            <w:r>
              <w:rPr>
                <w:sz w:val="14"/>
              </w:rPr>
              <w:t>118.42%</w:t>
            </w:r>
          </w:p>
        </w:tc>
        <w:tc>
          <w:tcPr>
            <w:tcW w:w="2592" w:type="dxa"/>
            <w:vAlign w:val="center"/>
          </w:tcPr>
          <w:p w14:paraId="719B4217" w14:textId="77777777" w:rsidR="0033298C" w:rsidRDefault="00000000">
            <w:pPr>
              <w:spacing w:after="0"/>
            </w:pPr>
            <w:r>
              <w:rPr>
                <w:sz w:val="14"/>
              </w:rPr>
              <w:t>90.89%</w:t>
            </w:r>
          </w:p>
        </w:tc>
        <w:tc>
          <w:tcPr>
            <w:tcW w:w="2592" w:type="dxa"/>
            <w:vAlign w:val="center"/>
          </w:tcPr>
          <w:p w14:paraId="6C4360DE" w14:textId="77777777" w:rsidR="0033298C" w:rsidRDefault="00000000">
            <w:pPr>
              <w:spacing w:after="0"/>
            </w:pPr>
            <w:r>
              <w:rPr>
                <w:sz w:val="14"/>
              </w:rPr>
              <w:t>Upside &gt; benchmark; downside &lt; benchmark</w:t>
            </w:r>
          </w:p>
        </w:tc>
      </w:tr>
      <w:tr w:rsidR="0033298C" w14:paraId="32962498" w14:textId="77777777">
        <w:trPr>
          <w:cantSplit/>
          <w:jc w:val="center"/>
        </w:trPr>
        <w:tc>
          <w:tcPr>
            <w:tcW w:w="2592" w:type="dxa"/>
            <w:shd w:val="clear" w:color="auto" w:fill="F1F4F7"/>
            <w:vAlign w:val="center"/>
          </w:tcPr>
          <w:p w14:paraId="34B5B528" w14:textId="77777777" w:rsidR="0033298C" w:rsidRDefault="00000000">
            <w:pPr>
              <w:spacing w:after="0"/>
            </w:pPr>
            <w:r>
              <w:rPr>
                <w:sz w:val="14"/>
              </w:rPr>
              <w:t>DSP</w:t>
            </w:r>
          </w:p>
        </w:tc>
        <w:tc>
          <w:tcPr>
            <w:tcW w:w="2592" w:type="dxa"/>
            <w:shd w:val="clear" w:color="auto" w:fill="F1F4F7"/>
            <w:vAlign w:val="center"/>
          </w:tcPr>
          <w:p w14:paraId="39F37C99" w14:textId="77777777" w:rsidR="0033298C" w:rsidRDefault="00000000">
            <w:pPr>
              <w:spacing w:after="0"/>
            </w:pPr>
            <w:r>
              <w:rPr>
                <w:sz w:val="14"/>
              </w:rPr>
              <w:t>82.53%</w:t>
            </w:r>
          </w:p>
        </w:tc>
        <w:tc>
          <w:tcPr>
            <w:tcW w:w="2592" w:type="dxa"/>
            <w:shd w:val="clear" w:color="auto" w:fill="F1F4F7"/>
            <w:vAlign w:val="center"/>
          </w:tcPr>
          <w:p w14:paraId="4CFFD4D8" w14:textId="77777777" w:rsidR="0033298C" w:rsidRDefault="00000000">
            <w:pPr>
              <w:spacing w:after="0"/>
            </w:pPr>
            <w:r>
              <w:rPr>
                <w:sz w:val="14"/>
              </w:rPr>
              <w:t>53.55%</w:t>
            </w:r>
          </w:p>
        </w:tc>
        <w:tc>
          <w:tcPr>
            <w:tcW w:w="2592" w:type="dxa"/>
            <w:shd w:val="clear" w:color="auto" w:fill="F1F4F7"/>
            <w:vAlign w:val="center"/>
          </w:tcPr>
          <w:p w14:paraId="0D954574" w14:textId="77777777" w:rsidR="0033298C" w:rsidRDefault="00000000">
            <w:pPr>
              <w:spacing w:after="0"/>
            </w:pPr>
            <w:r>
              <w:rPr>
                <w:sz w:val="14"/>
              </w:rPr>
              <w:t>Lower participation in both directions</w:t>
            </w:r>
          </w:p>
        </w:tc>
      </w:tr>
      <w:tr w:rsidR="0033298C" w14:paraId="3154AECE" w14:textId="77777777">
        <w:trPr>
          <w:cantSplit/>
          <w:jc w:val="center"/>
        </w:trPr>
        <w:tc>
          <w:tcPr>
            <w:tcW w:w="2592" w:type="dxa"/>
            <w:vAlign w:val="center"/>
          </w:tcPr>
          <w:p w14:paraId="4506B090" w14:textId="77777777" w:rsidR="0033298C" w:rsidRDefault="00000000">
            <w:pPr>
              <w:spacing w:after="0"/>
            </w:pPr>
            <w:r>
              <w:rPr>
                <w:sz w:val="14"/>
              </w:rPr>
              <w:t>ABSL</w:t>
            </w:r>
          </w:p>
        </w:tc>
        <w:tc>
          <w:tcPr>
            <w:tcW w:w="2592" w:type="dxa"/>
            <w:vAlign w:val="center"/>
          </w:tcPr>
          <w:p w14:paraId="2CB059E2" w14:textId="77777777" w:rsidR="0033298C" w:rsidRDefault="00000000">
            <w:pPr>
              <w:spacing w:after="0"/>
            </w:pPr>
            <w:r>
              <w:rPr>
                <w:sz w:val="14"/>
              </w:rPr>
              <w:t>113.79%</w:t>
            </w:r>
          </w:p>
        </w:tc>
        <w:tc>
          <w:tcPr>
            <w:tcW w:w="2592" w:type="dxa"/>
            <w:vAlign w:val="center"/>
          </w:tcPr>
          <w:p w14:paraId="0474F737" w14:textId="77777777" w:rsidR="0033298C" w:rsidRDefault="00000000">
            <w:pPr>
              <w:spacing w:after="0"/>
            </w:pPr>
            <w:r>
              <w:rPr>
                <w:sz w:val="14"/>
              </w:rPr>
              <w:t>102.10%</w:t>
            </w:r>
          </w:p>
        </w:tc>
        <w:tc>
          <w:tcPr>
            <w:tcW w:w="2592" w:type="dxa"/>
            <w:vAlign w:val="center"/>
          </w:tcPr>
          <w:p w14:paraId="163CB0BB" w14:textId="77777777" w:rsidR="0033298C" w:rsidRDefault="00000000">
            <w:pPr>
              <w:spacing w:after="0"/>
            </w:pPr>
            <w:r>
              <w:rPr>
                <w:sz w:val="14"/>
              </w:rPr>
              <w:t>Upside strong; downside at/above benchmark</w:t>
            </w:r>
          </w:p>
        </w:tc>
      </w:tr>
      <w:tr w:rsidR="0033298C" w14:paraId="6046B88C" w14:textId="77777777">
        <w:trPr>
          <w:cantSplit/>
          <w:jc w:val="center"/>
        </w:trPr>
        <w:tc>
          <w:tcPr>
            <w:tcW w:w="2592" w:type="dxa"/>
            <w:shd w:val="clear" w:color="auto" w:fill="F1F4F7"/>
            <w:vAlign w:val="center"/>
          </w:tcPr>
          <w:p w14:paraId="18C2E982" w14:textId="77777777" w:rsidR="0033298C" w:rsidRDefault="00000000">
            <w:pPr>
              <w:spacing w:after="0"/>
            </w:pPr>
            <w:r>
              <w:rPr>
                <w:sz w:val="14"/>
              </w:rPr>
              <w:t>Nippon</w:t>
            </w:r>
          </w:p>
        </w:tc>
        <w:tc>
          <w:tcPr>
            <w:tcW w:w="2592" w:type="dxa"/>
            <w:shd w:val="clear" w:color="auto" w:fill="F1F4F7"/>
            <w:vAlign w:val="center"/>
          </w:tcPr>
          <w:p w14:paraId="0884DD72" w14:textId="77777777" w:rsidR="0033298C" w:rsidRDefault="00000000">
            <w:pPr>
              <w:spacing w:after="0"/>
            </w:pPr>
            <w:r>
              <w:rPr>
                <w:sz w:val="14"/>
              </w:rPr>
              <w:t>107.66%</w:t>
            </w:r>
          </w:p>
        </w:tc>
        <w:tc>
          <w:tcPr>
            <w:tcW w:w="2592" w:type="dxa"/>
            <w:shd w:val="clear" w:color="auto" w:fill="F1F4F7"/>
            <w:vAlign w:val="center"/>
          </w:tcPr>
          <w:p w14:paraId="6C30213F" w14:textId="77777777" w:rsidR="0033298C" w:rsidRDefault="00000000">
            <w:pPr>
              <w:spacing w:after="0"/>
            </w:pPr>
            <w:r>
              <w:rPr>
                <w:sz w:val="14"/>
              </w:rPr>
              <w:t>100.50%</w:t>
            </w:r>
          </w:p>
        </w:tc>
        <w:tc>
          <w:tcPr>
            <w:tcW w:w="2592" w:type="dxa"/>
            <w:shd w:val="clear" w:color="auto" w:fill="F1F4F7"/>
            <w:vAlign w:val="center"/>
          </w:tcPr>
          <w:p w14:paraId="0D786EFE" w14:textId="77777777" w:rsidR="0033298C" w:rsidRDefault="00000000">
            <w:pPr>
              <w:spacing w:after="0"/>
            </w:pPr>
            <w:r>
              <w:rPr>
                <w:sz w:val="14"/>
              </w:rPr>
              <w:t>Upside strong; downside at/above benchmark</w:t>
            </w:r>
          </w:p>
        </w:tc>
      </w:tr>
    </w:tbl>
    <w:p w14:paraId="1422CE7E" w14:textId="77777777" w:rsidR="0033298C" w:rsidRDefault="0033298C">
      <w:pPr>
        <w:spacing w:after="20"/>
      </w:pPr>
    </w:p>
    <w:p w14:paraId="16588660" w14:textId="77777777" w:rsidR="0033298C" w:rsidRDefault="00000000">
      <w:r>
        <w:t>Capture-ratio implication: Axis offers the strongest upside participation among these six with below-benchmark downside capture. DSP has the strongest downside containment but could lag a sharp rally. HDFC is the most balanced capture pattern. ICICI has lower down-month participation but also captured less upside. ABSL and Nippon have downside capture around/above 100%.</w:t>
      </w:r>
    </w:p>
    <w:p w14:paraId="5D27D91B" w14:textId="77777777" w:rsidR="0033298C" w:rsidRDefault="00000000">
      <w:r>
        <w:rPr>
          <w:i/>
          <w:color w:val="5F6973"/>
          <w:sz w:val="16"/>
        </w:rPr>
        <w:t>These are not drawdown ratios and do not predict the next fall. Capture ratios can become unstable when a 36-month sample contains relatively few benchmark-down months; review them across multiple windows where available.</w:t>
      </w:r>
    </w:p>
    <w:p w14:paraId="5CC0BE8B" w14:textId="77777777" w:rsidR="0033298C" w:rsidRDefault="00000000">
      <w:r>
        <w:br w:type="page"/>
      </w:r>
    </w:p>
    <w:p w14:paraId="695ABD40" w14:textId="77777777" w:rsidR="0033298C" w:rsidRDefault="00000000">
      <w:pPr>
        <w:pStyle w:val="Heading1"/>
      </w:pPr>
      <w:r>
        <w:lastRenderedPageBreak/>
        <w:t>4. Downside resilience and rolling consistency</w:t>
      </w:r>
    </w:p>
    <w:p w14:paraId="591B2986" w14:textId="77777777" w:rsidR="0033298C" w:rsidRDefault="00000000">
      <w:pPr>
        <w:spacing w:after="40"/>
        <w:jc w:val="center"/>
      </w:pPr>
      <w:r>
        <w:rPr>
          <w:noProof/>
        </w:rPr>
        <w:drawing>
          <wp:inline distT="0" distB="0" distL="0" distR="0" wp14:anchorId="1D3C2DA2" wp14:editId="28AF59D9">
            <wp:extent cx="6400800" cy="30716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png"/>
                    <pic:cNvPicPr/>
                  </pic:nvPicPr>
                  <pic:blipFill>
                    <a:blip r:embed="rId12"/>
                    <a:stretch>
                      <a:fillRect/>
                    </a:stretch>
                  </pic:blipFill>
                  <pic:spPr>
                    <a:xfrm>
                      <a:off x="0" y="0"/>
                      <a:ext cx="6400800" cy="3071669"/>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33298C" w14:paraId="7E0B2A80" w14:textId="77777777">
        <w:trPr>
          <w:tblHeader/>
          <w:jc w:val="center"/>
        </w:trPr>
        <w:tc>
          <w:tcPr>
            <w:tcW w:w="2074" w:type="dxa"/>
            <w:shd w:val="clear" w:color="auto" w:fill="17324D"/>
            <w:vAlign w:val="center"/>
          </w:tcPr>
          <w:p w14:paraId="0214DB64" w14:textId="77777777" w:rsidR="0033298C" w:rsidRDefault="00000000">
            <w:pPr>
              <w:spacing w:after="0"/>
            </w:pPr>
            <w:r>
              <w:rPr>
                <w:b/>
                <w:color w:val="FFFFFF"/>
                <w:sz w:val="14"/>
              </w:rPr>
              <w:t>Scheme</w:t>
            </w:r>
          </w:p>
        </w:tc>
        <w:tc>
          <w:tcPr>
            <w:tcW w:w="2074" w:type="dxa"/>
            <w:shd w:val="clear" w:color="auto" w:fill="17324D"/>
            <w:vAlign w:val="center"/>
          </w:tcPr>
          <w:p w14:paraId="75313968" w14:textId="77777777" w:rsidR="0033298C" w:rsidRDefault="00000000">
            <w:pPr>
              <w:spacing w:after="0"/>
            </w:pPr>
            <w:r>
              <w:rPr>
                <w:b/>
                <w:color w:val="FFFFFF"/>
                <w:sz w:val="14"/>
              </w:rPr>
              <w:t>Max drawdown 5Y</w:t>
            </w:r>
          </w:p>
        </w:tc>
        <w:tc>
          <w:tcPr>
            <w:tcW w:w="2074" w:type="dxa"/>
            <w:shd w:val="clear" w:color="auto" w:fill="17324D"/>
            <w:vAlign w:val="center"/>
          </w:tcPr>
          <w:p w14:paraId="7C743FD1" w14:textId="77777777" w:rsidR="0033298C" w:rsidRDefault="00000000">
            <w:pPr>
              <w:spacing w:after="0"/>
            </w:pPr>
            <w:r>
              <w:rPr>
                <w:b/>
                <w:color w:val="FFFFFF"/>
                <w:sz w:val="14"/>
              </w:rPr>
              <w:t>Max drawdown full history</w:t>
            </w:r>
          </w:p>
        </w:tc>
        <w:tc>
          <w:tcPr>
            <w:tcW w:w="2074" w:type="dxa"/>
            <w:shd w:val="clear" w:color="auto" w:fill="17324D"/>
            <w:vAlign w:val="center"/>
          </w:tcPr>
          <w:p w14:paraId="12C14192" w14:textId="77777777" w:rsidR="0033298C" w:rsidRDefault="00000000">
            <w:pPr>
              <w:spacing w:after="0"/>
            </w:pPr>
            <w:r>
              <w:rPr>
                <w:b/>
                <w:color w:val="FFFFFF"/>
                <w:sz w:val="14"/>
              </w:rPr>
              <w:t>Current drawdown</w:t>
            </w:r>
          </w:p>
        </w:tc>
        <w:tc>
          <w:tcPr>
            <w:tcW w:w="2074" w:type="dxa"/>
            <w:shd w:val="clear" w:color="auto" w:fill="17324D"/>
            <w:vAlign w:val="center"/>
          </w:tcPr>
          <w:p w14:paraId="1AFD2F45" w14:textId="77777777" w:rsidR="0033298C" w:rsidRDefault="00000000">
            <w:pPr>
              <w:spacing w:after="0"/>
            </w:pPr>
            <w:r>
              <w:rPr>
                <w:b/>
                <w:color w:val="FFFFFF"/>
                <w:sz w:val="14"/>
              </w:rPr>
              <w:t>Worst-fall recovery</w:t>
            </w:r>
          </w:p>
        </w:tc>
      </w:tr>
      <w:tr w:rsidR="0033298C" w14:paraId="53C78CE9" w14:textId="77777777">
        <w:trPr>
          <w:cantSplit/>
          <w:jc w:val="center"/>
        </w:trPr>
        <w:tc>
          <w:tcPr>
            <w:tcW w:w="2074" w:type="dxa"/>
            <w:vAlign w:val="center"/>
          </w:tcPr>
          <w:p w14:paraId="0D6A78CC" w14:textId="77777777" w:rsidR="0033298C" w:rsidRDefault="00000000">
            <w:pPr>
              <w:spacing w:after="0"/>
            </w:pPr>
            <w:r>
              <w:rPr>
                <w:sz w:val="14"/>
              </w:rPr>
              <w:t>HDFC</w:t>
            </w:r>
          </w:p>
        </w:tc>
        <w:tc>
          <w:tcPr>
            <w:tcW w:w="2074" w:type="dxa"/>
            <w:vAlign w:val="center"/>
          </w:tcPr>
          <w:p w14:paraId="48A8ED2C" w14:textId="77777777" w:rsidR="0033298C" w:rsidRDefault="00000000">
            <w:pPr>
              <w:spacing w:after="0"/>
            </w:pPr>
            <w:r>
              <w:rPr>
                <w:sz w:val="14"/>
              </w:rPr>
              <w:t>-18.7%</w:t>
            </w:r>
          </w:p>
        </w:tc>
        <w:tc>
          <w:tcPr>
            <w:tcW w:w="2074" w:type="dxa"/>
            <w:vAlign w:val="center"/>
          </w:tcPr>
          <w:p w14:paraId="139F7A44" w14:textId="77777777" w:rsidR="0033298C" w:rsidRDefault="00000000">
            <w:pPr>
              <w:spacing w:after="0"/>
            </w:pPr>
            <w:r>
              <w:rPr>
                <w:sz w:val="14"/>
              </w:rPr>
              <w:t>-62.8%</w:t>
            </w:r>
          </w:p>
        </w:tc>
        <w:tc>
          <w:tcPr>
            <w:tcW w:w="2074" w:type="dxa"/>
            <w:vAlign w:val="center"/>
          </w:tcPr>
          <w:p w14:paraId="68224EE7" w14:textId="77777777" w:rsidR="0033298C" w:rsidRDefault="00000000">
            <w:pPr>
              <w:spacing w:after="0"/>
            </w:pPr>
            <w:r>
              <w:rPr>
                <w:sz w:val="14"/>
              </w:rPr>
              <w:t>-5.8%</w:t>
            </w:r>
          </w:p>
        </w:tc>
        <w:tc>
          <w:tcPr>
            <w:tcW w:w="2074" w:type="dxa"/>
            <w:vAlign w:val="center"/>
          </w:tcPr>
          <w:p w14:paraId="0739E9B6" w14:textId="77777777" w:rsidR="0033298C" w:rsidRDefault="00000000">
            <w:pPr>
              <w:spacing w:after="0"/>
            </w:pPr>
            <w:r>
              <w:rPr>
                <w:sz w:val="14"/>
              </w:rPr>
              <w:t>528 days</w:t>
            </w:r>
          </w:p>
        </w:tc>
      </w:tr>
      <w:tr w:rsidR="0033298C" w14:paraId="1903E0A4" w14:textId="77777777">
        <w:trPr>
          <w:cantSplit/>
          <w:jc w:val="center"/>
        </w:trPr>
        <w:tc>
          <w:tcPr>
            <w:tcW w:w="2074" w:type="dxa"/>
            <w:shd w:val="clear" w:color="auto" w:fill="F1F4F7"/>
            <w:vAlign w:val="center"/>
          </w:tcPr>
          <w:p w14:paraId="29759D6A" w14:textId="77777777" w:rsidR="0033298C" w:rsidRDefault="00000000">
            <w:pPr>
              <w:spacing w:after="0"/>
            </w:pPr>
            <w:r>
              <w:rPr>
                <w:sz w:val="14"/>
              </w:rPr>
              <w:t>ICICI Pru</w:t>
            </w:r>
          </w:p>
        </w:tc>
        <w:tc>
          <w:tcPr>
            <w:tcW w:w="2074" w:type="dxa"/>
            <w:shd w:val="clear" w:color="auto" w:fill="F1F4F7"/>
            <w:vAlign w:val="center"/>
          </w:tcPr>
          <w:p w14:paraId="2024AC06" w14:textId="77777777" w:rsidR="0033298C" w:rsidRDefault="00000000">
            <w:pPr>
              <w:spacing w:after="0"/>
            </w:pPr>
            <w:r>
              <w:rPr>
                <w:sz w:val="14"/>
              </w:rPr>
              <w:t>-14.2%</w:t>
            </w:r>
          </w:p>
        </w:tc>
        <w:tc>
          <w:tcPr>
            <w:tcW w:w="2074" w:type="dxa"/>
            <w:shd w:val="clear" w:color="auto" w:fill="F1F4F7"/>
            <w:vAlign w:val="center"/>
          </w:tcPr>
          <w:p w14:paraId="39E824B7" w14:textId="77777777" w:rsidR="0033298C" w:rsidRDefault="00000000">
            <w:pPr>
              <w:spacing w:after="0"/>
            </w:pPr>
            <w:r>
              <w:rPr>
                <w:sz w:val="14"/>
              </w:rPr>
              <w:t>-63.8%</w:t>
            </w:r>
          </w:p>
        </w:tc>
        <w:tc>
          <w:tcPr>
            <w:tcW w:w="2074" w:type="dxa"/>
            <w:shd w:val="clear" w:color="auto" w:fill="F1F4F7"/>
            <w:vAlign w:val="center"/>
          </w:tcPr>
          <w:p w14:paraId="19D565B6" w14:textId="77777777" w:rsidR="0033298C" w:rsidRDefault="00000000">
            <w:pPr>
              <w:spacing w:after="0"/>
            </w:pPr>
            <w:r>
              <w:rPr>
                <w:sz w:val="14"/>
              </w:rPr>
              <w:t>-13.1%</w:t>
            </w:r>
          </w:p>
        </w:tc>
        <w:tc>
          <w:tcPr>
            <w:tcW w:w="2074" w:type="dxa"/>
            <w:shd w:val="clear" w:color="auto" w:fill="F1F4F7"/>
            <w:vAlign w:val="center"/>
          </w:tcPr>
          <w:p w14:paraId="2AABB9CE" w14:textId="77777777" w:rsidR="0033298C" w:rsidRDefault="00000000">
            <w:pPr>
              <w:spacing w:after="0"/>
            </w:pPr>
            <w:r>
              <w:rPr>
                <w:sz w:val="14"/>
              </w:rPr>
              <w:t>422 days</w:t>
            </w:r>
          </w:p>
        </w:tc>
      </w:tr>
      <w:tr w:rsidR="0033298C" w14:paraId="7D183343" w14:textId="77777777">
        <w:trPr>
          <w:cantSplit/>
          <w:jc w:val="center"/>
        </w:trPr>
        <w:tc>
          <w:tcPr>
            <w:tcW w:w="2074" w:type="dxa"/>
            <w:vAlign w:val="center"/>
          </w:tcPr>
          <w:p w14:paraId="44CDAE06" w14:textId="77777777" w:rsidR="0033298C" w:rsidRDefault="00000000">
            <w:pPr>
              <w:spacing w:after="0"/>
            </w:pPr>
            <w:r>
              <w:rPr>
                <w:sz w:val="14"/>
              </w:rPr>
              <w:t>Axis</w:t>
            </w:r>
          </w:p>
        </w:tc>
        <w:tc>
          <w:tcPr>
            <w:tcW w:w="2074" w:type="dxa"/>
            <w:vAlign w:val="center"/>
          </w:tcPr>
          <w:p w14:paraId="2199E9BC" w14:textId="77777777" w:rsidR="0033298C" w:rsidRDefault="00000000">
            <w:pPr>
              <w:spacing w:after="0"/>
            </w:pPr>
            <w:r>
              <w:rPr>
                <w:sz w:val="14"/>
              </w:rPr>
              <w:t>-20.8%</w:t>
            </w:r>
          </w:p>
        </w:tc>
        <w:tc>
          <w:tcPr>
            <w:tcW w:w="2074" w:type="dxa"/>
            <w:vAlign w:val="center"/>
          </w:tcPr>
          <w:p w14:paraId="28A884B3" w14:textId="77777777" w:rsidR="0033298C" w:rsidRDefault="00000000">
            <w:pPr>
              <w:spacing w:after="0"/>
            </w:pPr>
            <w:r>
              <w:rPr>
                <w:sz w:val="14"/>
              </w:rPr>
              <w:t>-20.8%</w:t>
            </w:r>
          </w:p>
        </w:tc>
        <w:tc>
          <w:tcPr>
            <w:tcW w:w="2074" w:type="dxa"/>
            <w:vAlign w:val="center"/>
          </w:tcPr>
          <w:p w14:paraId="63F791BB" w14:textId="77777777" w:rsidR="0033298C" w:rsidRDefault="00000000">
            <w:pPr>
              <w:spacing w:after="0"/>
            </w:pPr>
            <w:r>
              <w:rPr>
                <w:sz w:val="14"/>
              </w:rPr>
              <w:t>-6.3%</w:t>
            </w:r>
          </w:p>
        </w:tc>
        <w:tc>
          <w:tcPr>
            <w:tcW w:w="2074" w:type="dxa"/>
            <w:vAlign w:val="center"/>
          </w:tcPr>
          <w:p w14:paraId="2B9E9072" w14:textId="77777777" w:rsidR="0033298C" w:rsidRDefault="00000000">
            <w:pPr>
              <w:spacing w:after="0"/>
            </w:pPr>
            <w:r>
              <w:rPr>
                <w:sz w:val="14"/>
              </w:rPr>
              <w:t>322 days</w:t>
            </w:r>
          </w:p>
        </w:tc>
      </w:tr>
      <w:tr w:rsidR="0033298C" w14:paraId="3C316F66" w14:textId="77777777">
        <w:trPr>
          <w:cantSplit/>
          <w:jc w:val="center"/>
        </w:trPr>
        <w:tc>
          <w:tcPr>
            <w:tcW w:w="2074" w:type="dxa"/>
            <w:shd w:val="clear" w:color="auto" w:fill="F1F4F7"/>
            <w:vAlign w:val="center"/>
          </w:tcPr>
          <w:p w14:paraId="247386FB" w14:textId="77777777" w:rsidR="0033298C" w:rsidRDefault="00000000">
            <w:pPr>
              <w:spacing w:after="0"/>
            </w:pPr>
            <w:r>
              <w:rPr>
                <w:sz w:val="14"/>
              </w:rPr>
              <w:t>DSP</w:t>
            </w:r>
          </w:p>
        </w:tc>
        <w:tc>
          <w:tcPr>
            <w:tcW w:w="2074" w:type="dxa"/>
            <w:shd w:val="clear" w:color="auto" w:fill="F1F4F7"/>
            <w:vAlign w:val="center"/>
          </w:tcPr>
          <w:p w14:paraId="7F0E058D" w14:textId="77777777" w:rsidR="0033298C" w:rsidRDefault="00000000">
            <w:pPr>
              <w:spacing w:after="0"/>
            </w:pPr>
            <w:r>
              <w:rPr>
                <w:sz w:val="14"/>
              </w:rPr>
              <w:t>-16.8%</w:t>
            </w:r>
          </w:p>
        </w:tc>
        <w:tc>
          <w:tcPr>
            <w:tcW w:w="2074" w:type="dxa"/>
            <w:shd w:val="clear" w:color="auto" w:fill="F1F4F7"/>
            <w:vAlign w:val="center"/>
          </w:tcPr>
          <w:p w14:paraId="57F7DF2B" w14:textId="77777777" w:rsidR="0033298C" w:rsidRDefault="00000000">
            <w:pPr>
              <w:spacing w:after="0"/>
            </w:pPr>
            <w:r>
              <w:rPr>
                <w:sz w:val="14"/>
              </w:rPr>
              <w:t>-16.8%</w:t>
            </w:r>
          </w:p>
        </w:tc>
        <w:tc>
          <w:tcPr>
            <w:tcW w:w="2074" w:type="dxa"/>
            <w:shd w:val="clear" w:color="auto" w:fill="F1F4F7"/>
            <w:vAlign w:val="center"/>
          </w:tcPr>
          <w:p w14:paraId="5B3952A8" w14:textId="77777777" w:rsidR="0033298C" w:rsidRDefault="00000000">
            <w:pPr>
              <w:spacing w:after="0"/>
            </w:pPr>
            <w:r>
              <w:rPr>
                <w:sz w:val="14"/>
              </w:rPr>
              <w:t>-7.3%</w:t>
            </w:r>
          </w:p>
        </w:tc>
        <w:tc>
          <w:tcPr>
            <w:tcW w:w="2074" w:type="dxa"/>
            <w:shd w:val="clear" w:color="auto" w:fill="F1F4F7"/>
            <w:vAlign w:val="center"/>
          </w:tcPr>
          <w:p w14:paraId="4124CF4C" w14:textId="77777777" w:rsidR="0033298C" w:rsidRDefault="00000000">
            <w:pPr>
              <w:spacing w:after="0"/>
            </w:pPr>
            <w:r>
              <w:rPr>
                <w:sz w:val="14"/>
              </w:rPr>
              <w:t>316 days</w:t>
            </w:r>
          </w:p>
        </w:tc>
      </w:tr>
      <w:tr w:rsidR="0033298C" w14:paraId="0CA0F151" w14:textId="77777777">
        <w:trPr>
          <w:cantSplit/>
          <w:jc w:val="center"/>
        </w:trPr>
        <w:tc>
          <w:tcPr>
            <w:tcW w:w="2074" w:type="dxa"/>
            <w:vAlign w:val="center"/>
          </w:tcPr>
          <w:p w14:paraId="4F8B7F42" w14:textId="77777777" w:rsidR="0033298C" w:rsidRDefault="00000000">
            <w:pPr>
              <w:spacing w:after="0"/>
            </w:pPr>
            <w:r>
              <w:rPr>
                <w:sz w:val="14"/>
              </w:rPr>
              <w:t>ABSL</w:t>
            </w:r>
          </w:p>
        </w:tc>
        <w:tc>
          <w:tcPr>
            <w:tcW w:w="2074" w:type="dxa"/>
            <w:vAlign w:val="center"/>
          </w:tcPr>
          <w:p w14:paraId="359DF3B3" w14:textId="77777777" w:rsidR="0033298C" w:rsidRDefault="00000000">
            <w:pPr>
              <w:spacing w:after="0"/>
            </w:pPr>
            <w:r>
              <w:rPr>
                <w:sz w:val="14"/>
              </w:rPr>
              <w:t>-22.9%</w:t>
            </w:r>
          </w:p>
        </w:tc>
        <w:tc>
          <w:tcPr>
            <w:tcW w:w="2074" w:type="dxa"/>
            <w:vAlign w:val="center"/>
          </w:tcPr>
          <w:p w14:paraId="079AE303" w14:textId="77777777" w:rsidR="0033298C" w:rsidRDefault="00000000">
            <w:pPr>
              <w:spacing w:after="0"/>
            </w:pPr>
            <w:r>
              <w:rPr>
                <w:sz w:val="14"/>
              </w:rPr>
              <w:t>-58.6%</w:t>
            </w:r>
          </w:p>
        </w:tc>
        <w:tc>
          <w:tcPr>
            <w:tcW w:w="2074" w:type="dxa"/>
            <w:vAlign w:val="center"/>
          </w:tcPr>
          <w:p w14:paraId="5C039A6B" w14:textId="77777777" w:rsidR="0033298C" w:rsidRDefault="00000000">
            <w:pPr>
              <w:spacing w:after="0"/>
            </w:pPr>
            <w:r>
              <w:rPr>
                <w:sz w:val="14"/>
              </w:rPr>
              <w:t>-6.3%</w:t>
            </w:r>
          </w:p>
        </w:tc>
        <w:tc>
          <w:tcPr>
            <w:tcW w:w="2074" w:type="dxa"/>
            <w:vAlign w:val="center"/>
          </w:tcPr>
          <w:p w14:paraId="1147DAC8" w14:textId="77777777" w:rsidR="0033298C" w:rsidRDefault="00000000">
            <w:pPr>
              <w:spacing w:after="0"/>
            </w:pPr>
            <w:r>
              <w:rPr>
                <w:sz w:val="14"/>
              </w:rPr>
              <w:t>498 days</w:t>
            </w:r>
          </w:p>
        </w:tc>
      </w:tr>
      <w:tr w:rsidR="0033298C" w14:paraId="306E811C" w14:textId="77777777">
        <w:trPr>
          <w:cantSplit/>
          <w:jc w:val="center"/>
        </w:trPr>
        <w:tc>
          <w:tcPr>
            <w:tcW w:w="2074" w:type="dxa"/>
            <w:shd w:val="clear" w:color="auto" w:fill="F1F4F7"/>
            <w:vAlign w:val="center"/>
          </w:tcPr>
          <w:p w14:paraId="15566EEB" w14:textId="77777777" w:rsidR="0033298C" w:rsidRDefault="00000000">
            <w:pPr>
              <w:spacing w:after="0"/>
            </w:pPr>
            <w:r>
              <w:rPr>
                <w:sz w:val="14"/>
              </w:rPr>
              <w:t>Nippon</w:t>
            </w:r>
          </w:p>
        </w:tc>
        <w:tc>
          <w:tcPr>
            <w:tcW w:w="2074" w:type="dxa"/>
            <w:shd w:val="clear" w:color="auto" w:fill="F1F4F7"/>
            <w:vAlign w:val="center"/>
          </w:tcPr>
          <w:p w14:paraId="2FE9F395" w14:textId="77777777" w:rsidR="0033298C" w:rsidRDefault="00000000">
            <w:pPr>
              <w:spacing w:after="0"/>
            </w:pPr>
            <w:r>
              <w:rPr>
                <w:sz w:val="14"/>
              </w:rPr>
              <w:t>-18.9%</w:t>
            </w:r>
          </w:p>
        </w:tc>
        <w:tc>
          <w:tcPr>
            <w:tcW w:w="2074" w:type="dxa"/>
            <w:shd w:val="clear" w:color="auto" w:fill="F1F4F7"/>
            <w:vAlign w:val="center"/>
          </w:tcPr>
          <w:p w14:paraId="3D32562C" w14:textId="77777777" w:rsidR="0033298C" w:rsidRDefault="00000000">
            <w:pPr>
              <w:spacing w:after="0"/>
            </w:pPr>
            <w:r>
              <w:rPr>
                <w:sz w:val="14"/>
              </w:rPr>
              <w:t>-64.0%</w:t>
            </w:r>
          </w:p>
        </w:tc>
        <w:tc>
          <w:tcPr>
            <w:tcW w:w="2074" w:type="dxa"/>
            <w:shd w:val="clear" w:color="auto" w:fill="F1F4F7"/>
            <w:vAlign w:val="center"/>
          </w:tcPr>
          <w:p w14:paraId="4F20B4EB" w14:textId="77777777" w:rsidR="0033298C" w:rsidRDefault="00000000">
            <w:pPr>
              <w:spacing w:after="0"/>
            </w:pPr>
            <w:r>
              <w:rPr>
                <w:sz w:val="14"/>
              </w:rPr>
              <w:t>-12.4%</w:t>
            </w:r>
          </w:p>
        </w:tc>
        <w:tc>
          <w:tcPr>
            <w:tcW w:w="2074" w:type="dxa"/>
            <w:shd w:val="clear" w:color="auto" w:fill="F1F4F7"/>
            <w:vAlign w:val="center"/>
          </w:tcPr>
          <w:p w14:paraId="34C97A88" w14:textId="77777777" w:rsidR="0033298C" w:rsidRDefault="00000000">
            <w:pPr>
              <w:spacing w:after="0"/>
            </w:pPr>
            <w:r>
              <w:rPr>
                <w:sz w:val="14"/>
              </w:rPr>
              <w:t>522 days</w:t>
            </w:r>
          </w:p>
        </w:tc>
      </w:tr>
    </w:tbl>
    <w:p w14:paraId="1A5BD083" w14:textId="77777777" w:rsidR="0033298C" w:rsidRDefault="0033298C">
      <w:pPr>
        <w:spacing w:after="20"/>
      </w:pPr>
    </w:p>
    <w:p w14:paraId="4F5AF40D" w14:textId="77777777" w:rsidR="0033298C" w:rsidRDefault="00000000">
      <w:r>
        <w:t>Full-history drawdown is heavily influenced by inception date and the market crises a fund has experienced. Axis and DSP were launched more recently; their less severe full-history drawdowns are not directly comparable with long-lived HDFC, ICICI, ABSL and Nippon. The last-five-year drawdown offers a more comparable view, although exact windows still matter.</w:t>
      </w:r>
    </w:p>
    <w:p w14:paraId="6F5174FB" w14:textId="77777777" w:rsidR="0033298C" w:rsidRDefault="00000000">
      <w:pPr>
        <w:spacing w:after="40"/>
        <w:jc w:val="center"/>
      </w:pPr>
      <w:r>
        <w:rPr>
          <w:noProof/>
        </w:rPr>
        <w:drawing>
          <wp:inline distT="0" distB="0" distL="0" distR="0" wp14:anchorId="6A16AF6F" wp14:editId="03553678">
            <wp:extent cx="6400800" cy="29643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png"/>
                    <pic:cNvPicPr/>
                  </pic:nvPicPr>
                  <pic:blipFill>
                    <a:blip r:embed="rId13"/>
                    <a:stretch>
                      <a:fillRect/>
                    </a:stretch>
                  </pic:blipFill>
                  <pic:spPr>
                    <a:xfrm>
                      <a:off x="0" y="0"/>
                      <a:ext cx="6400800" cy="296439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481"/>
        <w:gridCol w:w="1481"/>
        <w:gridCol w:w="1481"/>
        <w:gridCol w:w="1481"/>
        <w:gridCol w:w="1481"/>
        <w:gridCol w:w="1481"/>
        <w:gridCol w:w="1481"/>
      </w:tblGrid>
      <w:tr w:rsidR="0033298C" w14:paraId="551BD528" w14:textId="77777777">
        <w:trPr>
          <w:tblHeader/>
          <w:jc w:val="center"/>
        </w:trPr>
        <w:tc>
          <w:tcPr>
            <w:tcW w:w="1481" w:type="dxa"/>
            <w:shd w:val="clear" w:color="auto" w:fill="17324D"/>
            <w:vAlign w:val="center"/>
          </w:tcPr>
          <w:p w14:paraId="2301AE5B" w14:textId="77777777" w:rsidR="0033298C" w:rsidRDefault="00000000">
            <w:pPr>
              <w:spacing w:after="0"/>
            </w:pPr>
            <w:r>
              <w:rPr>
                <w:b/>
                <w:color w:val="FFFFFF"/>
                <w:sz w:val="13"/>
              </w:rPr>
              <w:t>Scheme</w:t>
            </w:r>
          </w:p>
        </w:tc>
        <w:tc>
          <w:tcPr>
            <w:tcW w:w="1481" w:type="dxa"/>
            <w:shd w:val="clear" w:color="auto" w:fill="17324D"/>
            <w:vAlign w:val="center"/>
          </w:tcPr>
          <w:p w14:paraId="128AA590" w14:textId="77777777" w:rsidR="0033298C" w:rsidRDefault="00000000">
            <w:pPr>
              <w:spacing w:after="0"/>
            </w:pPr>
            <w:r>
              <w:rPr>
                <w:b/>
                <w:color w:val="FFFFFF"/>
                <w:sz w:val="13"/>
              </w:rPr>
              <w:t>3Y rolling median</w:t>
            </w:r>
          </w:p>
        </w:tc>
        <w:tc>
          <w:tcPr>
            <w:tcW w:w="1481" w:type="dxa"/>
            <w:shd w:val="clear" w:color="auto" w:fill="17324D"/>
            <w:vAlign w:val="center"/>
          </w:tcPr>
          <w:p w14:paraId="6BFE4A3F" w14:textId="77777777" w:rsidR="0033298C" w:rsidRDefault="00000000">
            <w:pPr>
              <w:spacing w:after="0"/>
            </w:pPr>
            <w:r>
              <w:rPr>
                <w:b/>
                <w:color w:val="FFFFFF"/>
                <w:sz w:val="13"/>
              </w:rPr>
              <w:t>Worst 3Y rolling CAGR</w:t>
            </w:r>
          </w:p>
        </w:tc>
        <w:tc>
          <w:tcPr>
            <w:tcW w:w="1481" w:type="dxa"/>
            <w:shd w:val="clear" w:color="auto" w:fill="17324D"/>
            <w:vAlign w:val="center"/>
          </w:tcPr>
          <w:p w14:paraId="157330ED" w14:textId="77777777" w:rsidR="0033298C" w:rsidRDefault="00000000">
            <w:pPr>
              <w:spacing w:after="0"/>
            </w:pPr>
            <w:r>
              <w:rPr>
                <w:b/>
                <w:color w:val="FFFFFF"/>
                <w:sz w:val="13"/>
              </w:rPr>
              <w:t>Positive 3Y periods</w:t>
            </w:r>
          </w:p>
        </w:tc>
        <w:tc>
          <w:tcPr>
            <w:tcW w:w="1481" w:type="dxa"/>
            <w:shd w:val="clear" w:color="auto" w:fill="17324D"/>
            <w:vAlign w:val="center"/>
          </w:tcPr>
          <w:p w14:paraId="7F28A612" w14:textId="77777777" w:rsidR="0033298C" w:rsidRDefault="00000000">
            <w:pPr>
              <w:spacing w:after="0"/>
            </w:pPr>
            <w:r>
              <w:rPr>
                <w:b/>
                <w:color w:val="FFFFFF"/>
                <w:sz w:val="13"/>
              </w:rPr>
              <w:t>3Y periods ahead benchmark</w:t>
            </w:r>
          </w:p>
        </w:tc>
        <w:tc>
          <w:tcPr>
            <w:tcW w:w="1481" w:type="dxa"/>
            <w:shd w:val="clear" w:color="auto" w:fill="17324D"/>
            <w:vAlign w:val="center"/>
          </w:tcPr>
          <w:p w14:paraId="557806A9" w14:textId="77777777" w:rsidR="0033298C" w:rsidRDefault="00000000">
            <w:pPr>
              <w:spacing w:after="0"/>
            </w:pPr>
            <w:r>
              <w:rPr>
                <w:b/>
                <w:color w:val="FFFFFF"/>
                <w:sz w:val="13"/>
              </w:rPr>
              <w:t>5Y rolling median</w:t>
            </w:r>
          </w:p>
        </w:tc>
        <w:tc>
          <w:tcPr>
            <w:tcW w:w="1481" w:type="dxa"/>
            <w:shd w:val="clear" w:color="auto" w:fill="17324D"/>
            <w:vAlign w:val="center"/>
          </w:tcPr>
          <w:p w14:paraId="78A460A0" w14:textId="77777777" w:rsidR="0033298C" w:rsidRDefault="00000000">
            <w:pPr>
              <w:spacing w:after="0"/>
            </w:pPr>
            <w:r>
              <w:rPr>
                <w:b/>
                <w:color w:val="FFFFFF"/>
                <w:sz w:val="13"/>
              </w:rPr>
              <w:t>5Y periods ahead benchmark</w:t>
            </w:r>
          </w:p>
        </w:tc>
      </w:tr>
      <w:tr w:rsidR="0033298C" w14:paraId="0D0F5D0D" w14:textId="77777777">
        <w:trPr>
          <w:cantSplit/>
          <w:jc w:val="center"/>
        </w:trPr>
        <w:tc>
          <w:tcPr>
            <w:tcW w:w="1481" w:type="dxa"/>
            <w:vAlign w:val="center"/>
          </w:tcPr>
          <w:p w14:paraId="27CD4343" w14:textId="77777777" w:rsidR="0033298C" w:rsidRDefault="00000000">
            <w:pPr>
              <w:spacing w:after="0"/>
            </w:pPr>
            <w:r>
              <w:rPr>
                <w:sz w:val="13"/>
              </w:rPr>
              <w:t>HDFC</w:t>
            </w:r>
          </w:p>
        </w:tc>
        <w:tc>
          <w:tcPr>
            <w:tcW w:w="1481" w:type="dxa"/>
            <w:vAlign w:val="center"/>
          </w:tcPr>
          <w:p w14:paraId="089A321E" w14:textId="77777777" w:rsidR="0033298C" w:rsidRDefault="00000000">
            <w:pPr>
              <w:spacing w:after="0"/>
            </w:pPr>
            <w:r>
              <w:rPr>
                <w:sz w:val="13"/>
              </w:rPr>
              <w:t>15.2%</w:t>
            </w:r>
          </w:p>
        </w:tc>
        <w:tc>
          <w:tcPr>
            <w:tcW w:w="1481" w:type="dxa"/>
            <w:vAlign w:val="center"/>
          </w:tcPr>
          <w:p w14:paraId="1E815509" w14:textId="77777777" w:rsidR="0033298C" w:rsidRDefault="00000000">
            <w:pPr>
              <w:spacing w:after="0"/>
            </w:pPr>
            <w:r>
              <w:rPr>
                <w:sz w:val="13"/>
              </w:rPr>
              <w:t>-10.9%</w:t>
            </w:r>
          </w:p>
        </w:tc>
        <w:tc>
          <w:tcPr>
            <w:tcW w:w="1481" w:type="dxa"/>
            <w:vAlign w:val="center"/>
          </w:tcPr>
          <w:p w14:paraId="62A7ED38" w14:textId="77777777" w:rsidR="0033298C" w:rsidRDefault="00000000">
            <w:pPr>
              <w:spacing w:after="0"/>
            </w:pPr>
            <w:r>
              <w:rPr>
                <w:sz w:val="13"/>
              </w:rPr>
              <w:t>96%</w:t>
            </w:r>
          </w:p>
        </w:tc>
        <w:tc>
          <w:tcPr>
            <w:tcW w:w="1481" w:type="dxa"/>
            <w:vAlign w:val="center"/>
          </w:tcPr>
          <w:p w14:paraId="5F446AF6" w14:textId="77777777" w:rsidR="0033298C" w:rsidRDefault="00000000">
            <w:pPr>
              <w:spacing w:after="0"/>
            </w:pPr>
            <w:r>
              <w:rPr>
                <w:sz w:val="13"/>
              </w:rPr>
              <w:t>94%</w:t>
            </w:r>
          </w:p>
        </w:tc>
        <w:tc>
          <w:tcPr>
            <w:tcW w:w="1481" w:type="dxa"/>
            <w:vAlign w:val="center"/>
          </w:tcPr>
          <w:p w14:paraId="5EC8559A" w14:textId="77777777" w:rsidR="0033298C" w:rsidRDefault="00000000">
            <w:pPr>
              <w:spacing w:after="0"/>
            </w:pPr>
            <w:r>
              <w:rPr>
                <w:sz w:val="13"/>
              </w:rPr>
              <w:t>14.3%</w:t>
            </w:r>
          </w:p>
        </w:tc>
        <w:tc>
          <w:tcPr>
            <w:tcW w:w="1481" w:type="dxa"/>
            <w:vAlign w:val="center"/>
          </w:tcPr>
          <w:p w14:paraId="4688E6E9" w14:textId="77777777" w:rsidR="0033298C" w:rsidRDefault="00000000">
            <w:pPr>
              <w:spacing w:after="0"/>
            </w:pPr>
            <w:r>
              <w:rPr>
                <w:sz w:val="13"/>
              </w:rPr>
              <w:t>100%</w:t>
            </w:r>
          </w:p>
        </w:tc>
      </w:tr>
      <w:tr w:rsidR="0033298C" w14:paraId="2E8CD5E7" w14:textId="77777777">
        <w:trPr>
          <w:cantSplit/>
          <w:jc w:val="center"/>
        </w:trPr>
        <w:tc>
          <w:tcPr>
            <w:tcW w:w="1481" w:type="dxa"/>
            <w:shd w:val="clear" w:color="auto" w:fill="F1F4F7"/>
            <w:vAlign w:val="center"/>
          </w:tcPr>
          <w:p w14:paraId="21717E7C" w14:textId="77777777" w:rsidR="0033298C" w:rsidRDefault="00000000">
            <w:pPr>
              <w:spacing w:after="0"/>
            </w:pPr>
            <w:r>
              <w:rPr>
                <w:sz w:val="13"/>
              </w:rPr>
              <w:t>ICICI Pru</w:t>
            </w:r>
          </w:p>
        </w:tc>
        <w:tc>
          <w:tcPr>
            <w:tcW w:w="1481" w:type="dxa"/>
            <w:shd w:val="clear" w:color="auto" w:fill="F1F4F7"/>
            <w:vAlign w:val="center"/>
          </w:tcPr>
          <w:p w14:paraId="1A0E2ED2" w14:textId="77777777" w:rsidR="0033298C" w:rsidRDefault="00000000">
            <w:pPr>
              <w:spacing w:after="0"/>
            </w:pPr>
            <w:r>
              <w:rPr>
                <w:sz w:val="13"/>
              </w:rPr>
              <w:t>19.3%</w:t>
            </w:r>
          </w:p>
        </w:tc>
        <w:tc>
          <w:tcPr>
            <w:tcW w:w="1481" w:type="dxa"/>
            <w:shd w:val="clear" w:color="auto" w:fill="F1F4F7"/>
            <w:vAlign w:val="center"/>
          </w:tcPr>
          <w:p w14:paraId="2D26E49D" w14:textId="77777777" w:rsidR="0033298C" w:rsidRDefault="00000000">
            <w:pPr>
              <w:spacing w:after="0"/>
            </w:pPr>
            <w:r>
              <w:rPr>
                <w:sz w:val="13"/>
              </w:rPr>
              <w:t>-12.5%</w:t>
            </w:r>
          </w:p>
        </w:tc>
        <w:tc>
          <w:tcPr>
            <w:tcW w:w="1481" w:type="dxa"/>
            <w:shd w:val="clear" w:color="auto" w:fill="F1F4F7"/>
            <w:vAlign w:val="center"/>
          </w:tcPr>
          <w:p w14:paraId="481D28F6" w14:textId="77777777" w:rsidR="0033298C" w:rsidRDefault="00000000">
            <w:pPr>
              <w:spacing w:after="0"/>
            </w:pPr>
            <w:r>
              <w:rPr>
                <w:sz w:val="13"/>
              </w:rPr>
              <w:t>98%</w:t>
            </w:r>
          </w:p>
        </w:tc>
        <w:tc>
          <w:tcPr>
            <w:tcW w:w="1481" w:type="dxa"/>
            <w:shd w:val="clear" w:color="auto" w:fill="F1F4F7"/>
            <w:vAlign w:val="center"/>
          </w:tcPr>
          <w:p w14:paraId="21B93B9D" w14:textId="77777777" w:rsidR="0033298C" w:rsidRDefault="00000000">
            <w:pPr>
              <w:spacing w:after="0"/>
            </w:pPr>
            <w:r>
              <w:rPr>
                <w:sz w:val="13"/>
              </w:rPr>
              <w:t>100%</w:t>
            </w:r>
          </w:p>
        </w:tc>
        <w:tc>
          <w:tcPr>
            <w:tcW w:w="1481" w:type="dxa"/>
            <w:shd w:val="clear" w:color="auto" w:fill="F1F4F7"/>
            <w:vAlign w:val="center"/>
          </w:tcPr>
          <w:p w14:paraId="5A30AC22" w14:textId="77777777" w:rsidR="0033298C" w:rsidRDefault="00000000">
            <w:pPr>
              <w:spacing w:after="0"/>
            </w:pPr>
            <w:r>
              <w:rPr>
                <w:sz w:val="13"/>
              </w:rPr>
              <w:t>17.4%</w:t>
            </w:r>
          </w:p>
        </w:tc>
        <w:tc>
          <w:tcPr>
            <w:tcW w:w="1481" w:type="dxa"/>
            <w:shd w:val="clear" w:color="auto" w:fill="F1F4F7"/>
            <w:vAlign w:val="center"/>
          </w:tcPr>
          <w:p w14:paraId="184873BD" w14:textId="77777777" w:rsidR="0033298C" w:rsidRDefault="00000000">
            <w:pPr>
              <w:spacing w:after="0"/>
            </w:pPr>
            <w:r>
              <w:rPr>
                <w:sz w:val="13"/>
              </w:rPr>
              <w:t>100%</w:t>
            </w:r>
          </w:p>
        </w:tc>
      </w:tr>
      <w:tr w:rsidR="0033298C" w14:paraId="4D07032B" w14:textId="77777777">
        <w:trPr>
          <w:cantSplit/>
          <w:jc w:val="center"/>
        </w:trPr>
        <w:tc>
          <w:tcPr>
            <w:tcW w:w="1481" w:type="dxa"/>
            <w:vAlign w:val="center"/>
          </w:tcPr>
          <w:p w14:paraId="6BF6DA41" w14:textId="77777777" w:rsidR="0033298C" w:rsidRDefault="00000000">
            <w:pPr>
              <w:spacing w:after="0"/>
            </w:pPr>
            <w:r>
              <w:rPr>
                <w:sz w:val="13"/>
              </w:rPr>
              <w:t>Axis</w:t>
            </w:r>
          </w:p>
        </w:tc>
        <w:tc>
          <w:tcPr>
            <w:tcW w:w="1481" w:type="dxa"/>
            <w:vAlign w:val="center"/>
          </w:tcPr>
          <w:p w14:paraId="781FD98F" w14:textId="77777777" w:rsidR="0033298C" w:rsidRDefault="00000000">
            <w:pPr>
              <w:spacing w:after="0"/>
            </w:pPr>
            <w:r>
              <w:rPr>
                <w:sz w:val="13"/>
              </w:rPr>
              <w:t>21.4%</w:t>
            </w:r>
          </w:p>
        </w:tc>
        <w:tc>
          <w:tcPr>
            <w:tcW w:w="1481" w:type="dxa"/>
            <w:vAlign w:val="center"/>
          </w:tcPr>
          <w:p w14:paraId="78EA3D27" w14:textId="77777777" w:rsidR="0033298C" w:rsidRDefault="00000000">
            <w:pPr>
              <w:spacing w:after="0"/>
            </w:pPr>
            <w:r>
              <w:rPr>
                <w:sz w:val="13"/>
              </w:rPr>
              <w:t>14.9%</w:t>
            </w:r>
          </w:p>
        </w:tc>
        <w:tc>
          <w:tcPr>
            <w:tcW w:w="1481" w:type="dxa"/>
            <w:vAlign w:val="center"/>
          </w:tcPr>
          <w:p w14:paraId="4D390B43" w14:textId="77777777" w:rsidR="0033298C" w:rsidRDefault="00000000">
            <w:pPr>
              <w:spacing w:after="0"/>
            </w:pPr>
            <w:r>
              <w:rPr>
                <w:sz w:val="13"/>
              </w:rPr>
              <w:t>100%</w:t>
            </w:r>
          </w:p>
        </w:tc>
        <w:tc>
          <w:tcPr>
            <w:tcW w:w="1481" w:type="dxa"/>
            <w:vAlign w:val="center"/>
          </w:tcPr>
          <w:p w14:paraId="2071DA31" w14:textId="77777777" w:rsidR="0033298C" w:rsidRDefault="00000000">
            <w:pPr>
              <w:spacing w:after="0"/>
            </w:pPr>
            <w:r>
              <w:rPr>
                <w:sz w:val="13"/>
              </w:rPr>
              <w:t>100%</w:t>
            </w:r>
          </w:p>
        </w:tc>
        <w:tc>
          <w:tcPr>
            <w:tcW w:w="1481" w:type="dxa"/>
            <w:vAlign w:val="center"/>
          </w:tcPr>
          <w:p w14:paraId="4ACC3CE7" w14:textId="77777777" w:rsidR="0033298C" w:rsidRDefault="00000000">
            <w:pPr>
              <w:spacing w:after="0"/>
            </w:pPr>
            <w:r>
              <w:rPr>
                <w:sz w:val="13"/>
              </w:rPr>
              <w:t>n/a</w:t>
            </w:r>
          </w:p>
        </w:tc>
        <w:tc>
          <w:tcPr>
            <w:tcW w:w="1481" w:type="dxa"/>
            <w:vAlign w:val="center"/>
          </w:tcPr>
          <w:p w14:paraId="18493F1D" w14:textId="77777777" w:rsidR="0033298C" w:rsidRDefault="00000000">
            <w:pPr>
              <w:spacing w:after="0"/>
            </w:pPr>
            <w:r>
              <w:rPr>
                <w:sz w:val="13"/>
              </w:rPr>
              <w:t>n/a</w:t>
            </w:r>
          </w:p>
        </w:tc>
      </w:tr>
      <w:tr w:rsidR="0033298C" w14:paraId="36007ED2" w14:textId="77777777">
        <w:trPr>
          <w:cantSplit/>
          <w:jc w:val="center"/>
        </w:trPr>
        <w:tc>
          <w:tcPr>
            <w:tcW w:w="1481" w:type="dxa"/>
            <w:shd w:val="clear" w:color="auto" w:fill="F1F4F7"/>
            <w:vAlign w:val="center"/>
          </w:tcPr>
          <w:p w14:paraId="211154FA" w14:textId="77777777" w:rsidR="0033298C" w:rsidRDefault="00000000">
            <w:pPr>
              <w:spacing w:after="0"/>
            </w:pPr>
            <w:r>
              <w:rPr>
                <w:sz w:val="13"/>
              </w:rPr>
              <w:t>DSP</w:t>
            </w:r>
          </w:p>
        </w:tc>
        <w:tc>
          <w:tcPr>
            <w:tcW w:w="1481" w:type="dxa"/>
            <w:shd w:val="clear" w:color="auto" w:fill="F1F4F7"/>
            <w:vAlign w:val="center"/>
          </w:tcPr>
          <w:p w14:paraId="30F5B1D2" w14:textId="77777777" w:rsidR="0033298C" w:rsidRDefault="00000000">
            <w:pPr>
              <w:spacing w:after="0"/>
            </w:pPr>
            <w:r>
              <w:rPr>
                <w:sz w:val="13"/>
              </w:rPr>
              <w:t>17.7%</w:t>
            </w:r>
          </w:p>
        </w:tc>
        <w:tc>
          <w:tcPr>
            <w:tcW w:w="1481" w:type="dxa"/>
            <w:shd w:val="clear" w:color="auto" w:fill="F1F4F7"/>
            <w:vAlign w:val="center"/>
          </w:tcPr>
          <w:p w14:paraId="5CB38534" w14:textId="77777777" w:rsidR="0033298C" w:rsidRDefault="00000000">
            <w:pPr>
              <w:spacing w:after="0"/>
            </w:pPr>
            <w:r>
              <w:rPr>
                <w:sz w:val="13"/>
              </w:rPr>
              <w:t>12.4%</w:t>
            </w:r>
          </w:p>
        </w:tc>
        <w:tc>
          <w:tcPr>
            <w:tcW w:w="1481" w:type="dxa"/>
            <w:shd w:val="clear" w:color="auto" w:fill="F1F4F7"/>
            <w:vAlign w:val="center"/>
          </w:tcPr>
          <w:p w14:paraId="6E09F368" w14:textId="77777777" w:rsidR="0033298C" w:rsidRDefault="00000000">
            <w:pPr>
              <w:spacing w:after="0"/>
            </w:pPr>
            <w:r>
              <w:rPr>
                <w:sz w:val="13"/>
              </w:rPr>
              <w:t>100%</w:t>
            </w:r>
          </w:p>
        </w:tc>
        <w:tc>
          <w:tcPr>
            <w:tcW w:w="1481" w:type="dxa"/>
            <w:shd w:val="clear" w:color="auto" w:fill="F1F4F7"/>
            <w:vAlign w:val="center"/>
          </w:tcPr>
          <w:p w14:paraId="0ECBBC9E" w14:textId="77777777" w:rsidR="0033298C" w:rsidRDefault="00000000">
            <w:pPr>
              <w:spacing w:after="0"/>
            </w:pPr>
            <w:r>
              <w:rPr>
                <w:sz w:val="13"/>
              </w:rPr>
              <w:t>75%</w:t>
            </w:r>
          </w:p>
        </w:tc>
        <w:tc>
          <w:tcPr>
            <w:tcW w:w="1481" w:type="dxa"/>
            <w:shd w:val="clear" w:color="auto" w:fill="F1F4F7"/>
            <w:vAlign w:val="center"/>
          </w:tcPr>
          <w:p w14:paraId="390FB92A" w14:textId="77777777" w:rsidR="0033298C" w:rsidRDefault="00000000">
            <w:pPr>
              <w:spacing w:after="0"/>
            </w:pPr>
            <w:r>
              <w:rPr>
                <w:sz w:val="13"/>
              </w:rPr>
              <w:t>14.5%</w:t>
            </w:r>
          </w:p>
        </w:tc>
        <w:tc>
          <w:tcPr>
            <w:tcW w:w="1481" w:type="dxa"/>
            <w:shd w:val="clear" w:color="auto" w:fill="F1F4F7"/>
            <w:vAlign w:val="center"/>
          </w:tcPr>
          <w:p w14:paraId="2B3F49D7" w14:textId="77777777" w:rsidR="0033298C" w:rsidRDefault="00000000">
            <w:pPr>
              <w:spacing w:after="0"/>
            </w:pPr>
            <w:r>
              <w:rPr>
                <w:sz w:val="13"/>
              </w:rPr>
              <w:t>100%</w:t>
            </w:r>
          </w:p>
        </w:tc>
      </w:tr>
      <w:tr w:rsidR="0033298C" w14:paraId="0A5B27ED" w14:textId="77777777">
        <w:trPr>
          <w:cantSplit/>
          <w:jc w:val="center"/>
        </w:trPr>
        <w:tc>
          <w:tcPr>
            <w:tcW w:w="1481" w:type="dxa"/>
            <w:vAlign w:val="center"/>
          </w:tcPr>
          <w:p w14:paraId="4C0DFD3A" w14:textId="77777777" w:rsidR="0033298C" w:rsidRDefault="00000000">
            <w:pPr>
              <w:spacing w:after="0"/>
            </w:pPr>
            <w:r>
              <w:rPr>
                <w:sz w:val="13"/>
              </w:rPr>
              <w:t>ABSL</w:t>
            </w:r>
          </w:p>
        </w:tc>
        <w:tc>
          <w:tcPr>
            <w:tcW w:w="1481" w:type="dxa"/>
            <w:vAlign w:val="center"/>
          </w:tcPr>
          <w:p w14:paraId="4FB88A16" w14:textId="77777777" w:rsidR="0033298C" w:rsidRDefault="00000000">
            <w:pPr>
              <w:spacing w:after="0"/>
            </w:pPr>
            <w:r>
              <w:rPr>
                <w:sz w:val="13"/>
              </w:rPr>
              <w:t>18.2%</w:t>
            </w:r>
          </w:p>
        </w:tc>
        <w:tc>
          <w:tcPr>
            <w:tcW w:w="1481" w:type="dxa"/>
            <w:vAlign w:val="center"/>
          </w:tcPr>
          <w:p w14:paraId="75965D08" w14:textId="77777777" w:rsidR="0033298C" w:rsidRDefault="00000000">
            <w:pPr>
              <w:spacing w:after="0"/>
            </w:pPr>
            <w:r>
              <w:rPr>
                <w:sz w:val="13"/>
              </w:rPr>
              <w:t>-16.2%</w:t>
            </w:r>
          </w:p>
        </w:tc>
        <w:tc>
          <w:tcPr>
            <w:tcW w:w="1481" w:type="dxa"/>
            <w:vAlign w:val="center"/>
          </w:tcPr>
          <w:p w14:paraId="247C0374" w14:textId="77777777" w:rsidR="0033298C" w:rsidRDefault="00000000">
            <w:pPr>
              <w:spacing w:after="0"/>
            </w:pPr>
            <w:r>
              <w:rPr>
                <w:sz w:val="13"/>
              </w:rPr>
              <w:t>88%</w:t>
            </w:r>
          </w:p>
        </w:tc>
        <w:tc>
          <w:tcPr>
            <w:tcW w:w="1481" w:type="dxa"/>
            <w:vAlign w:val="center"/>
          </w:tcPr>
          <w:p w14:paraId="449D433F" w14:textId="77777777" w:rsidR="0033298C" w:rsidRDefault="00000000">
            <w:pPr>
              <w:spacing w:after="0"/>
            </w:pPr>
            <w:r>
              <w:rPr>
                <w:sz w:val="13"/>
              </w:rPr>
              <w:t>93%</w:t>
            </w:r>
          </w:p>
        </w:tc>
        <w:tc>
          <w:tcPr>
            <w:tcW w:w="1481" w:type="dxa"/>
            <w:vAlign w:val="center"/>
          </w:tcPr>
          <w:p w14:paraId="60299403" w14:textId="77777777" w:rsidR="0033298C" w:rsidRDefault="00000000">
            <w:pPr>
              <w:spacing w:after="0"/>
            </w:pPr>
            <w:r>
              <w:rPr>
                <w:sz w:val="13"/>
              </w:rPr>
              <w:t>17.6%</w:t>
            </w:r>
          </w:p>
        </w:tc>
        <w:tc>
          <w:tcPr>
            <w:tcW w:w="1481" w:type="dxa"/>
            <w:vAlign w:val="center"/>
          </w:tcPr>
          <w:p w14:paraId="362025E9" w14:textId="77777777" w:rsidR="0033298C" w:rsidRDefault="00000000">
            <w:pPr>
              <w:spacing w:after="0"/>
            </w:pPr>
            <w:r>
              <w:rPr>
                <w:sz w:val="13"/>
              </w:rPr>
              <w:t>100%</w:t>
            </w:r>
          </w:p>
        </w:tc>
      </w:tr>
      <w:tr w:rsidR="0033298C" w14:paraId="48F58E00" w14:textId="77777777">
        <w:trPr>
          <w:cantSplit/>
          <w:jc w:val="center"/>
        </w:trPr>
        <w:tc>
          <w:tcPr>
            <w:tcW w:w="1481" w:type="dxa"/>
            <w:shd w:val="clear" w:color="auto" w:fill="F1F4F7"/>
            <w:vAlign w:val="center"/>
          </w:tcPr>
          <w:p w14:paraId="66175F20" w14:textId="77777777" w:rsidR="0033298C" w:rsidRDefault="00000000">
            <w:pPr>
              <w:spacing w:after="0"/>
            </w:pPr>
            <w:r>
              <w:rPr>
                <w:sz w:val="13"/>
              </w:rPr>
              <w:t>Nippon</w:t>
            </w:r>
          </w:p>
        </w:tc>
        <w:tc>
          <w:tcPr>
            <w:tcW w:w="1481" w:type="dxa"/>
            <w:shd w:val="clear" w:color="auto" w:fill="F1F4F7"/>
            <w:vAlign w:val="center"/>
          </w:tcPr>
          <w:p w14:paraId="29A93906" w14:textId="77777777" w:rsidR="0033298C" w:rsidRDefault="00000000">
            <w:pPr>
              <w:spacing w:after="0"/>
            </w:pPr>
            <w:r>
              <w:rPr>
                <w:sz w:val="13"/>
              </w:rPr>
              <w:t>17.7%</w:t>
            </w:r>
          </w:p>
        </w:tc>
        <w:tc>
          <w:tcPr>
            <w:tcW w:w="1481" w:type="dxa"/>
            <w:shd w:val="clear" w:color="auto" w:fill="F1F4F7"/>
            <w:vAlign w:val="center"/>
          </w:tcPr>
          <w:p w14:paraId="5BFD7252" w14:textId="77777777" w:rsidR="0033298C" w:rsidRDefault="00000000">
            <w:pPr>
              <w:spacing w:after="0"/>
            </w:pPr>
            <w:r>
              <w:rPr>
                <w:sz w:val="13"/>
              </w:rPr>
              <w:t>-7.1%</w:t>
            </w:r>
          </w:p>
        </w:tc>
        <w:tc>
          <w:tcPr>
            <w:tcW w:w="1481" w:type="dxa"/>
            <w:shd w:val="clear" w:color="auto" w:fill="F1F4F7"/>
            <w:vAlign w:val="center"/>
          </w:tcPr>
          <w:p w14:paraId="25179725" w14:textId="77777777" w:rsidR="0033298C" w:rsidRDefault="00000000">
            <w:pPr>
              <w:spacing w:after="0"/>
            </w:pPr>
            <w:r>
              <w:rPr>
                <w:sz w:val="13"/>
              </w:rPr>
              <w:t>95%</w:t>
            </w:r>
          </w:p>
        </w:tc>
        <w:tc>
          <w:tcPr>
            <w:tcW w:w="1481" w:type="dxa"/>
            <w:shd w:val="clear" w:color="auto" w:fill="F1F4F7"/>
            <w:vAlign w:val="center"/>
          </w:tcPr>
          <w:p w14:paraId="150E3ABD" w14:textId="77777777" w:rsidR="0033298C" w:rsidRDefault="00000000">
            <w:pPr>
              <w:spacing w:after="0"/>
            </w:pPr>
            <w:r>
              <w:rPr>
                <w:sz w:val="13"/>
              </w:rPr>
              <w:t>100%</w:t>
            </w:r>
          </w:p>
        </w:tc>
        <w:tc>
          <w:tcPr>
            <w:tcW w:w="1481" w:type="dxa"/>
            <w:shd w:val="clear" w:color="auto" w:fill="F1F4F7"/>
            <w:vAlign w:val="center"/>
          </w:tcPr>
          <w:p w14:paraId="5DF02566" w14:textId="77777777" w:rsidR="0033298C" w:rsidRDefault="00000000">
            <w:pPr>
              <w:spacing w:after="0"/>
            </w:pPr>
            <w:r>
              <w:rPr>
                <w:sz w:val="13"/>
              </w:rPr>
              <w:t>14.9%</w:t>
            </w:r>
          </w:p>
        </w:tc>
        <w:tc>
          <w:tcPr>
            <w:tcW w:w="1481" w:type="dxa"/>
            <w:shd w:val="clear" w:color="auto" w:fill="F1F4F7"/>
            <w:vAlign w:val="center"/>
          </w:tcPr>
          <w:p w14:paraId="60D7917F" w14:textId="77777777" w:rsidR="0033298C" w:rsidRDefault="00000000">
            <w:pPr>
              <w:spacing w:after="0"/>
            </w:pPr>
            <w:r>
              <w:rPr>
                <w:sz w:val="13"/>
              </w:rPr>
              <w:t>100%</w:t>
            </w:r>
          </w:p>
        </w:tc>
      </w:tr>
    </w:tbl>
    <w:p w14:paraId="0F55802D" w14:textId="77777777" w:rsidR="0033298C" w:rsidRDefault="0033298C">
      <w:pPr>
        <w:spacing w:after="20"/>
      </w:pPr>
    </w:p>
    <w:p w14:paraId="5E230095" w14:textId="77777777" w:rsidR="0033298C" w:rsidRDefault="00000000">
      <w:pPr>
        <w:pStyle w:val="Heading1"/>
        <w:pageBreakBefore/>
      </w:pPr>
      <w:r>
        <w:lastRenderedPageBreak/>
        <w:t>5. Cost, scale and operational measures</w:t>
      </w:r>
    </w:p>
    <w:p w14:paraId="7FDA43D8" w14:textId="77777777" w:rsidR="0033298C" w:rsidRDefault="00000000">
      <w:pPr>
        <w:spacing w:after="40"/>
        <w:jc w:val="center"/>
      </w:pPr>
      <w:r>
        <w:rPr>
          <w:noProof/>
        </w:rPr>
        <w:drawing>
          <wp:inline distT="0" distB="0" distL="0" distR="0" wp14:anchorId="77173C0F" wp14:editId="5167FA92">
            <wp:extent cx="6400800" cy="26003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png"/>
                    <pic:cNvPicPr/>
                  </pic:nvPicPr>
                  <pic:blipFill>
                    <a:blip r:embed="rId14"/>
                    <a:stretch>
                      <a:fillRect/>
                    </a:stretch>
                  </pic:blipFill>
                  <pic:spPr>
                    <a:xfrm>
                      <a:off x="0" y="0"/>
                      <a:ext cx="6400800" cy="260032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33298C" w14:paraId="2C5D8BF2" w14:textId="77777777">
        <w:trPr>
          <w:tblHeader/>
          <w:jc w:val="center"/>
        </w:trPr>
        <w:tc>
          <w:tcPr>
            <w:tcW w:w="1152" w:type="dxa"/>
            <w:shd w:val="clear" w:color="auto" w:fill="17324D"/>
            <w:vAlign w:val="center"/>
          </w:tcPr>
          <w:p w14:paraId="7369AF00" w14:textId="77777777" w:rsidR="0033298C" w:rsidRDefault="00000000">
            <w:pPr>
              <w:spacing w:after="0"/>
            </w:pPr>
            <w:r>
              <w:rPr>
                <w:b/>
                <w:color w:val="FFFFFF"/>
                <w:sz w:val="12"/>
              </w:rPr>
              <w:t>Scheme</w:t>
            </w:r>
          </w:p>
        </w:tc>
        <w:tc>
          <w:tcPr>
            <w:tcW w:w="1152" w:type="dxa"/>
            <w:shd w:val="clear" w:color="auto" w:fill="17324D"/>
            <w:vAlign w:val="center"/>
          </w:tcPr>
          <w:p w14:paraId="386B84D1" w14:textId="77777777" w:rsidR="0033298C" w:rsidRDefault="00000000">
            <w:pPr>
              <w:spacing w:after="0"/>
            </w:pPr>
            <w:r>
              <w:rPr>
                <w:b/>
                <w:color w:val="FFFFFF"/>
                <w:sz w:val="12"/>
              </w:rPr>
              <w:t>Regular TER</w:t>
            </w:r>
          </w:p>
        </w:tc>
        <w:tc>
          <w:tcPr>
            <w:tcW w:w="1152" w:type="dxa"/>
            <w:shd w:val="clear" w:color="auto" w:fill="17324D"/>
            <w:vAlign w:val="center"/>
          </w:tcPr>
          <w:p w14:paraId="0FD31C79" w14:textId="77777777" w:rsidR="0033298C" w:rsidRDefault="00000000">
            <w:pPr>
              <w:spacing w:after="0"/>
            </w:pPr>
            <w:r>
              <w:rPr>
                <w:b/>
                <w:color w:val="FFFFFF"/>
                <w:sz w:val="12"/>
              </w:rPr>
              <w:t>AUM</w:t>
            </w:r>
          </w:p>
        </w:tc>
        <w:tc>
          <w:tcPr>
            <w:tcW w:w="1152" w:type="dxa"/>
            <w:shd w:val="clear" w:color="auto" w:fill="17324D"/>
            <w:vAlign w:val="center"/>
          </w:tcPr>
          <w:p w14:paraId="30F7F991" w14:textId="77777777" w:rsidR="0033298C" w:rsidRDefault="00000000">
            <w:pPr>
              <w:spacing w:after="0"/>
            </w:pPr>
            <w:r>
              <w:rPr>
                <w:b/>
                <w:color w:val="FFFFFF"/>
                <w:sz w:val="12"/>
              </w:rPr>
              <w:t>AUM date</w:t>
            </w:r>
          </w:p>
        </w:tc>
        <w:tc>
          <w:tcPr>
            <w:tcW w:w="1152" w:type="dxa"/>
            <w:shd w:val="clear" w:color="auto" w:fill="17324D"/>
            <w:vAlign w:val="center"/>
          </w:tcPr>
          <w:p w14:paraId="342DFE94" w14:textId="77777777" w:rsidR="0033298C" w:rsidRDefault="00000000">
            <w:pPr>
              <w:spacing w:after="0"/>
            </w:pPr>
            <w:r>
              <w:rPr>
                <w:b/>
                <w:color w:val="FFFFFF"/>
                <w:sz w:val="12"/>
              </w:rPr>
              <w:t>AUM source</w:t>
            </w:r>
          </w:p>
        </w:tc>
        <w:tc>
          <w:tcPr>
            <w:tcW w:w="1152" w:type="dxa"/>
            <w:shd w:val="clear" w:color="auto" w:fill="17324D"/>
            <w:vAlign w:val="center"/>
          </w:tcPr>
          <w:p w14:paraId="638C3181" w14:textId="77777777" w:rsidR="0033298C" w:rsidRDefault="00000000">
            <w:pPr>
              <w:spacing w:after="0"/>
            </w:pPr>
            <w:r>
              <w:rPr>
                <w:b/>
                <w:color w:val="FFFFFF"/>
                <w:sz w:val="12"/>
              </w:rPr>
              <w:t>Turnover*</w:t>
            </w:r>
          </w:p>
        </w:tc>
        <w:tc>
          <w:tcPr>
            <w:tcW w:w="1152" w:type="dxa"/>
            <w:shd w:val="clear" w:color="auto" w:fill="17324D"/>
            <w:vAlign w:val="center"/>
          </w:tcPr>
          <w:p w14:paraId="1454157B" w14:textId="77777777" w:rsidR="0033298C" w:rsidRDefault="00000000">
            <w:pPr>
              <w:spacing w:after="0"/>
            </w:pPr>
            <w:r>
              <w:rPr>
                <w:b/>
                <w:color w:val="FFFFFF"/>
                <w:sz w:val="12"/>
              </w:rPr>
              <w:t>Value Research rating</w:t>
            </w:r>
          </w:p>
        </w:tc>
        <w:tc>
          <w:tcPr>
            <w:tcW w:w="1152" w:type="dxa"/>
            <w:shd w:val="clear" w:color="auto" w:fill="17324D"/>
            <w:vAlign w:val="center"/>
          </w:tcPr>
          <w:p w14:paraId="78C8CD92" w14:textId="77777777" w:rsidR="0033298C" w:rsidRDefault="00000000">
            <w:pPr>
              <w:spacing w:after="0"/>
            </w:pPr>
            <w:r>
              <w:rPr>
                <w:b/>
                <w:color w:val="FFFFFF"/>
                <w:sz w:val="12"/>
              </w:rPr>
              <w:t>Risk grade</w:t>
            </w:r>
          </w:p>
        </w:tc>
        <w:tc>
          <w:tcPr>
            <w:tcW w:w="1152" w:type="dxa"/>
            <w:shd w:val="clear" w:color="auto" w:fill="17324D"/>
            <w:vAlign w:val="center"/>
          </w:tcPr>
          <w:p w14:paraId="4A835B97" w14:textId="77777777" w:rsidR="0033298C" w:rsidRDefault="00000000">
            <w:pPr>
              <w:spacing w:after="0"/>
            </w:pPr>
            <w:r>
              <w:rPr>
                <w:b/>
                <w:color w:val="FFFFFF"/>
                <w:sz w:val="12"/>
              </w:rPr>
              <w:t>Return grade</w:t>
            </w:r>
          </w:p>
        </w:tc>
      </w:tr>
      <w:tr w:rsidR="0033298C" w14:paraId="29D9D99C" w14:textId="77777777">
        <w:trPr>
          <w:cantSplit/>
          <w:jc w:val="center"/>
        </w:trPr>
        <w:tc>
          <w:tcPr>
            <w:tcW w:w="1152" w:type="dxa"/>
            <w:vAlign w:val="center"/>
          </w:tcPr>
          <w:p w14:paraId="1BCE7F75" w14:textId="77777777" w:rsidR="0033298C" w:rsidRDefault="00000000">
            <w:pPr>
              <w:spacing w:after="0"/>
            </w:pPr>
            <w:r>
              <w:rPr>
                <w:sz w:val="12"/>
              </w:rPr>
              <w:t>HDFC</w:t>
            </w:r>
          </w:p>
        </w:tc>
        <w:tc>
          <w:tcPr>
            <w:tcW w:w="1152" w:type="dxa"/>
            <w:vAlign w:val="center"/>
          </w:tcPr>
          <w:p w14:paraId="5BFC7C5A" w14:textId="77777777" w:rsidR="0033298C" w:rsidRDefault="00000000">
            <w:pPr>
              <w:spacing w:after="0"/>
            </w:pPr>
            <w:r>
              <w:rPr>
                <w:sz w:val="12"/>
              </w:rPr>
              <w:t>1.88%</w:t>
            </w:r>
          </w:p>
        </w:tc>
        <w:tc>
          <w:tcPr>
            <w:tcW w:w="1152" w:type="dxa"/>
            <w:vAlign w:val="center"/>
          </w:tcPr>
          <w:p w14:paraId="003B622A" w14:textId="77777777" w:rsidR="0033298C" w:rsidRDefault="00000000">
            <w:pPr>
              <w:spacing w:after="0"/>
            </w:pPr>
            <w:r>
              <w:rPr>
                <w:sz w:val="12"/>
              </w:rPr>
              <w:t>₹7,917 Cr</w:t>
            </w:r>
          </w:p>
        </w:tc>
        <w:tc>
          <w:tcPr>
            <w:tcW w:w="1152" w:type="dxa"/>
            <w:vAlign w:val="center"/>
          </w:tcPr>
          <w:p w14:paraId="01319418" w14:textId="77777777" w:rsidR="0033298C" w:rsidRDefault="00000000">
            <w:pPr>
              <w:spacing w:after="0"/>
            </w:pPr>
            <w:r>
              <w:rPr>
                <w:sz w:val="12"/>
              </w:rPr>
              <w:t>8 Oct 2026</w:t>
            </w:r>
          </w:p>
        </w:tc>
        <w:tc>
          <w:tcPr>
            <w:tcW w:w="1152" w:type="dxa"/>
            <w:vAlign w:val="center"/>
          </w:tcPr>
          <w:p w14:paraId="660AFDFD" w14:textId="77777777" w:rsidR="0033298C" w:rsidRDefault="00000000">
            <w:pPr>
              <w:spacing w:after="0"/>
            </w:pPr>
            <w:r>
              <w:rPr>
                <w:sz w:val="12"/>
              </w:rPr>
              <w:t>AMFI/MFIC</w:t>
            </w:r>
          </w:p>
        </w:tc>
        <w:tc>
          <w:tcPr>
            <w:tcW w:w="1152" w:type="dxa"/>
            <w:vAlign w:val="center"/>
          </w:tcPr>
          <w:p w14:paraId="4EBEADA3" w14:textId="77777777" w:rsidR="0033298C" w:rsidRDefault="00000000">
            <w:pPr>
              <w:spacing w:after="0"/>
            </w:pPr>
            <w:r>
              <w:rPr>
                <w:sz w:val="12"/>
              </w:rPr>
              <w:t>25.45%</w:t>
            </w:r>
          </w:p>
        </w:tc>
        <w:tc>
          <w:tcPr>
            <w:tcW w:w="1152" w:type="dxa"/>
            <w:vAlign w:val="center"/>
          </w:tcPr>
          <w:p w14:paraId="04181365" w14:textId="77777777" w:rsidR="0033298C" w:rsidRDefault="00000000">
            <w:pPr>
              <w:spacing w:after="0"/>
            </w:pPr>
            <w:r>
              <w:rPr>
                <w:sz w:val="12"/>
              </w:rPr>
              <w:t>4/5</w:t>
            </w:r>
          </w:p>
        </w:tc>
        <w:tc>
          <w:tcPr>
            <w:tcW w:w="1152" w:type="dxa"/>
            <w:vAlign w:val="center"/>
          </w:tcPr>
          <w:p w14:paraId="2AACC09E" w14:textId="77777777" w:rsidR="0033298C" w:rsidRDefault="00000000">
            <w:pPr>
              <w:spacing w:after="0"/>
            </w:pPr>
            <w:r>
              <w:rPr>
                <w:sz w:val="12"/>
              </w:rPr>
              <w:t>Average</w:t>
            </w:r>
          </w:p>
        </w:tc>
        <w:tc>
          <w:tcPr>
            <w:tcW w:w="1152" w:type="dxa"/>
            <w:vAlign w:val="center"/>
          </w:tcPr>
          <w:p w14:paraId="40662658" w14:textId="77777777" w:rsidR="0033298C" w:rsidRDefault="00000000">
            <w:pPr>
              <w:spacing w:after="0"/>
            </w:pPr>
            <w:r>
              <w:rPr>
                <w:sz w:val="12"/>
              </w:rPr>
              <w:t>Above Average</w:t>
            </w:r>
          </w:p>
        </w:tc>
      </w:tr>
      <w:tr w:rsidR="0033298C" w14:paraId="178EA40A" w14:textId="77777777">
        <w:trPr>
          <w:cantSplit/>
          <w:jc w:val="center"/>
        </w:trPr>
        <w:tc>
          <w:tcPr>
            <w:tcW w:w="1152" w:type="dxa"/>
            <w:shd w:val="clear" w:color="auto" w:fill="F1F4F7"/>
            <w:vAlign w:val="center"/>
          </w:tcPr>
          <w:p w14:paraId="257DEEC5" w14:textId="77777777" w:rsidR="0033298C" w:rsidRDefault="00000000">
            <w:pPr>
              <w:spacing w:after="0"/>
            </w:pPr>
            <w:r>
              <w:rPr>
                <w:sz w:val="12"/>
              </w:rPr>
              <w:t>ICICI Pru</w:t>
            </w:r>
          </w:p>
        </w:tc>
        <w:tc>
          <w:tcPr>
            <w:tcW w:w="1152" w:type="dxa"/>
            <w:shd w:val="clear" w:color="auto" w:fill="F1F4F7"/>
            <w:vAlign w:val="center"/>
          </w:tcPr>
          <w:p w14:paraId="6B3DBEC6" w14:textId="77777777" w:rsidR="0033298C" w:rsidRDefault="00000000">
            <w:pPr>
              <w:spacing w:after="0"/>
            </w:pPr>
            <w:r>
              <w:rPr>
                <w:sz w:val="12"/>
              </w:rPr>
              <w:t>1.56%</w:t>
            </w:r>
          </w:p>
        </w:tc>
        <w:tc>
          <w:tcPr>
            <w:tcW w:w="1152" w:type="dxa"/>
            <w:shd w:val="clear" w:color="auto" w:fill="F1F4F7"/>
            <w:vAlign w:val="center"/>
          </w:tcPr>
          <w:p w14:paraId="3ACCAF83" w14:textId="77777777" w:rsidR="0033298C" w:rsidRDefault="00000000">
            <w:pPr>
              <w:spacing w:after="0"/>
            </w:pPr>
            <w:r>
              <w:rPr>
                <w:sz w:val="12"/>
              </w:rPr>
              <w:t>₹57,189 Cr</w:t>
            </w:r>
          </w:p>
        </w:tc>
        <w:tc>
          <w:tcPr>
            <w:tcW w:w="1152" w:type="dxa"/>
            <w:shd w:val="clear" w:color="auto" w:fill="F1F4F7"/>
            <w:vAlign w:val="center"/>
          </w:tcPr>
          <w:p w14:paraId="5975F88C" w14:textId="77777777" w:rsidR="0033298C" w:rsidRDefault="00000000">
            <w:pPr>
              <w:spacing w:after="0"/>
            </w:pPr>
            <w:r>
              <w:rPr>
                <w:sz w:val="12"/>
              </w:rPr>
              <w:t>7 Oct 2026</w:t>
            </w:r>
          </w:p>
        </w:tc>
        <w:tc>
          <w:tcPr>
            <w:tcW w:w="1152" w:type="dxa"/>
            <w:shd w:val="clear" w:color="auto" w:fill="F1F4F7"/>
            <w:vAlign w:val="center"/>
          </w:tcPr>
          <w:p w14:paraId="1DCD0966" w14:textId="77777777" w:rsidR="0033298C" w:rsidRDefault="00000000">
            <w:pPr>
              <w:spacing w:after="0"/>
            </w:pPr>
            <w:r>
              <w:rPr>
                <w:sz w:val="12"/>
              </w:rPr>
              <w:t>AMFI/MFIC</w:t>
            </w:r>
          </w:p>
        </w:tc>
        <w:tc>
          <w:tcPr>
            <w:tcW w:w="1152" w:type="dxa"/>
            <w:shd w:val="clear" w:color="auto" w:fill="F1F4F7"/>
            <w:vAlign w:val="center"/>
          </w:tcPr>
          <w:p w14:paraId="5DEE4F2A" w14:textId="77777777" w:rsidR="0033298C" w:rsidRDefault="00000000">
            <w:pPr>
              <w:spacing w:after="0"/>
            </w:pPr>
            <w:r>
              <w:rPr>
                <w:sz w:val="12"/>
              </w:rPr>
              <w:t>n/a</w:t>
            </w:r>
          </w:p>
        </w:tc>
        <w:tc>
          <w:tcPr>
            <w:tcW w:w="1152" w:type="dxa"/>
            <w:shd w:val="clear" w:color="auto" w:fill="F1F4F7"/>
            <w:vAlign w:val="center"/>
          </w:tcPr>
          <w:p w14:paraId="1A5FF88B" w14:textId="77777777" w:rsidR="0033298C" w:rsidRDefault="00000000">
            <w:pPr>
              <w:spacing w:after="0"/>
            </w:pPr>
            <w:r>
              <w:rPr>
                <w:sz w:val="12"/>
              </w:rPr>
              <w:t>4/5</w:t>
            </w:r>
          </w:p>
        </w:tc>
        <w:tc>
          <w:tcPr>
            <w:tcW w:w="1152" w:type="dxa"/>
            <w:shd w:val="clear" w:color="auto" w:fill="F1F4F7"/>
            <w:vAlign w:val="center"/>
          </w:tcPr>
          <w:p w14:paraId="6ECEB0C1" w14:textId="77777777" w:rsidR="0033298C" w:rsidRDefault="00000000">
            <w:pPr>
              <w:spacing w:after="0"/>
            </w:pPr>
            <w:r>
              <w:rPr>
                <w:sz w:val="12"/>
              </w:rPr>
              <w:t>Not surfaced</w:t>
            </w:r>
          </w:p>
        </w:tc>
        <w:tc>
          <w:tcPr>
            <w:tcW w:w="1152" w:type="dxa"/>
            <w:shd w:val="clear" w:color="auto" w:fill="F1F4F7"/>
            <w:vAlign w:val="center"/>
          </w:tcPr>
          <w:p w14:paraId="0A5FC82A" w14:textId="77777777" w:rsidR="0033298C" w:rsidRDefault="00000000">
            <w:pPr>
              <w:spacing w:after="0"/>
            </w:pPr>
            <w:r>
              <w:rPr>
                <w:sz w:val="12"/>
              </w:rPr>
              <w:t>Not surfaced</w:t>
            </w:r>
          </w:p>
        </w:tc>
      </w:tr>
      <w:tr w:rsidR="0033298C" w14:paraId="508969F0" w14:textId="77777777">
        <w:trPr>
          <w:cantSplit/>
          <w:jc w:val="center"/>
        </w:trPr>
        <w:tc>
          <w:tcPr>
            <w:tcW w:w="1152" w:type="dxa"/>
            <w:vAlign w:val="center"/>
          </w:tcPr>
          <w:p w14:paraId="5637D0A0" w14:textId="77777777" w:rsidR="0033298C" w:rsidRDefault="00000000">
            <w:pPr>
              <w:spacing w:after="0"/>
            </w:pPr>
            <w:r>
              <w:rPr>
                <w:sz w:val="12"/>
              </w:rPr>
              <w:t>Axis</w:t>
            </w:r>
          </w:p>
        </w:tc>
        <w:tc>
          <w:tcPr>
            <w:tcW w:w="1152" w:type="dxa"/>
            <w:vAlign w:val="center"/>
          </w:tcPr>
          <w:p w14:paraId="364B5E6C" w14:textId="77777777" w:rsidR="0033298C" w:rsidRDefault="00000000">
            <w:pPr>
              <w:spacing w:after="0"/>
            </w:pPr>
            <w:r>
              <w:rPr>
                <w:sz w:val="12"/>
              </w:rPr>
              <w:t>2.27%</w:t>
            </w:r>
          </w:p>
        </w:tc>
        <w:tc>
          <w:tcPr>
            <w:tcW w:w="1152" w:type="dxa"/>
            <w:vAlign w:val="center"/>
          </w:tcPr>
          <w:p w14:paraId="047215FA" w14:textId="77777777" w:rsidR="0033298C" w:rsidRDefault="00000000">
            <w:pPr>
              <w:spacing w:after="0"/>
            </w:pPr>
            <w:r>
              <w:rPr>
                <w:sz w:val="12"/>
              </w:rPr>
              <w:t>₹1,848 Cr</w:t>
            </w:r>
          </w:p>
        </w:tc>
        <w:tc>
          <w:tcPr>
            <w:tcW w:w="1152" w:type="dxa"/>
            <w:vAlign w:val="center"/>
          </w:tcPr>
          <w:p w14:paraId="27C1C8E6" w14:textId="77777777" w:rsidR="0033298C" w:rsidRDefault="00000000">
            <w:pPr>
              <w:spacing w:after="0"/>
            </w:pPr>
            <w:r>
              <w:rPr>
                <w:sz w:val="12"/>
              </w:rPr>
              <w:t>8 Oct 2026</w:t>
            </w:r>
          </w:p>
        </w:tc>
        <w:tc>
          <w:tcPr>
            <w:tcW w:w="1152" w:type="dxa"/>
            <w:vAlign w:val="center"/>
          </w:tcPr>
          <w:p w14:paraId="5044F86B" w14:textId="77777777" w:rsidR="0033298C" w:rsidRDefault="00000000">
            <w:pPr>
              <w:spacing w:after="0"/>
            </w:pPr>
            <w:r>
              <w:rPr>
                <w:sz w:val="12"/>
              </w:rPr>
              <w:t>AMFI/MFIC</w:t>
            </w:r>
          </w:p>
        </w:tc>
        <w:tc>
          <w:tcPr>
            <w:tcW w:w="1152" w:type="dxa"/>
            <w:vAlign w:val="center"/>
          </w:tcPr>
          <w:p w14:paraId="00FB0B0C" w14:textId="77777777" w:rsidR="0033298C" w:rsidRDefault="00000000">
            <w:pPr>
              <w:spacing w:after="0"/>
            </w:pPr>
            <w:r>
              <w:rPr>
                <w:sz w:val="12"/>
              </w:rPr>
              <w:t>43.00%</w:t>
            </w:r>
          </w:p>
        </w:tc>
        <w:tc>
          <w:tcPr>
            <w:tcW w:w="1152" w:type="dxa"/>
            <w:vAlign w:val="center"/>
          </w:tcPr>
          <w:p w14:paraId="39E38D99" w14:textId="77777777" w:rsidR="0033298C" w:rsidRDefault="00000000">
            <w:pPr>
              <w:spacing w:after="0"/>
            </w:pPr>
            <w:r>
              <w:rPr>
                <w:sz w:val="12"/>
              </w:rPr>
              <w:t>4/5</w:t>
            </w:r>
          </w:p>
        </w:tc>
        <w:tc>
          <w:tcPr>
            <w:tcW w:w="1152" w:type="dxa"/>
            <w:vAlign w:val="center"/>
          </w:tcPr>
          <w:p w14:paraId="69BBEFF0" w14:textId="77777777" w:rsidR="0033298C" w:rsidRDefault="00000000">
            <w:pPr>
              <w:spacing w:after="0"/>
            </w:pPr>
            <w:r>
              <w:rPr>
                <w:sz w:val="12"/>
              </w:rPr>
              <w:t>Below Average</w:t>
            </w:r>
          </w:p>
        </w:tc>
        <w:tc>
          <w:tcPr>
            <w:tcW w:w="1152" w:type="dxa"/>
            <w:vAlign w:val="center"/>
          </w:tcPr>
          <w:p w14:paraId="69F0A8D2" w14:textId="77777777" w:rsidR="0033298C" w:rsidRDefault="00000000">
            <w:pPr>
              <w:spacing w:after="0"/>
            </w:pPr>
            <w:r>
              <w:rPr>
                <w:sz w:val="12"/>
              </w:rPr>
              <w:t>Above Average</w:t>
            </w:r>
          </w:p>
        </w:tc>
      </w:tr>
      <w:tr w:rsidR="0033298C" w14:paraId="2F70F1AB" w14:textId="77777777">
        <w:trPr>
          <w:cantSplit/>
          <w:jc w:val="center"/>
        </w:trPr>
        <w:tc>
          <w:tcPr>
            <w:tcW w:w="1152" w:type="dxa"/>
            <w:shd w:val="clear" w:color="auto" w:fill="F1F4F7"/>
            <w:vAlign w:val="center"/>
          </w:tcPr>
          <w:p w14:paraId="42B1FA5F" w14:textId="77777777" w:rsidR="0033298C" w:rsidRDefault="00000000">
            <w:pPr>
              <w:spacing w:after="0"/>
            </w:pPr>
            <w:r>
              <w:rPr>
                <w:sz w:val="12"/>
              </w:rPr>
              <w:t>DSP</w:t>
            </w:r>
          </w:p>
        </w:tc>
        <w:tc>
          <w:tcPr>
            <w:tcW w:w="1152" w:type="dxa"/>
            <w:shd w:val="clear" w:color="auto" w:fill="F1F4F7"/>
            <w:vAlign w:val="center"/>
          </w:tcPr>
          <w:p w14:paraId="40DEF4B7" w14:textId="77777777" w:rsidR="0033298C" w:rsidRDefault="00000000">
            <w:pPr>
              <w:spacing w:after="0"/>
            </w:pPr>
            <w:r>
              <w:rPr>
                <w:sz w:val="12"/>
              </w:rPr>
              <w:t>2.40%</w:t>
            </w:r>
          </w:p>
        </w:tc>
        <w:tc>
          <w:tcPr>
            <w:tcW w:w="1152" w:type="dxa"/>
            <w:shd w:val="clear" w:color="auto" w:fill="F1F4F7"/>
            <w:vAlign w:val="center"/>
          </w:tcPr>
          <w:p w14:paraId="445EE107" w14:textId="77777777" w:rsidR="0033298C" w:rsidRDefault="00000000">
            <w:pPr>
              <w:spacing w:after="0"/>
            </w:pPr>
            <w:r>
              <w:rPr>
                <w:sz w:val="12"/>
              </w:rPr>
              <w:t>₹2,220 Cr</w:t>
            </w:r>
          </w:p>
        </w:tc>
        <w:tc>
          <w:tcPr>
            <w:tcW w:w="1152" w:type="dxa"/>
            <w:shd w:val="clear" w:color="auto" w:fill="F1F4F7"/>
            <w:vAlign w:val="center"/>
          </w:tcPr>
          <w:p w14:paraId="06EBAD80" w14:textId="77777777" w:rsidR="0033298C" w:rsidRDefault="00000000">
            <w:pPr>
              <w:spacing w:after="0"/>
            </w:pPr>
            <w:r>
              <w:rPr>
                <w:sz w:val="12"/>
              </w:rPr>
              <w:t>31 Aug 2026</w:t>
            </w:r>
          </w:p>
        </w:tc>
        <w:tc>
          <w:tcPr>
            <w:tcW w:w="1152" w:type="dxa"/>
            <w:shd w:val="clear" w:color="auto" w:fill="F1F4F7"/>
            <w:vAlign w:val="center"/>
          </w:tcPr>
          <w:p w14:paraId="1A6BC6D1" w14:textId="77777777" w:rsidR="0033298C" w:rsidRDefault="00000000">
            <w:pPr>
              <w:spacing w:after="0"/>
            </w:pPr>
            <w:r>
              <w:rPr>
                <w:sz w:val="12"/>
              </w:rPr>
              <w:t>ET Money</w:t>
            </w:r>
          </w:p>
        </w:tc>
        <w:tc>
          <w:tcPr>
            <w:tcW w:w="1152" w:type="dxa"/>
            <w:shd w:val="clear" w:color="auto" w:fill="F1F4F7"/>
            <w:vAlign w:val="center"/>
          </w:tcPr>
          <w:p w14:paraId="33B7060F" w14:textId="77777777" w:rsidR="0033298C" w:rsidRDefault="00000000">
            <w:pPr>
              <w:spacing w:after="0"/>
            </w:pPr>
            <w:r>
              <w:rPr>
                <w:sz w:val="12"/>
              </w:rPr>
              <w:t>131.00%</w:t>
            </w:r>
          </w:p>
        </w:tc>
        <w:tc>
          <w:tcPr>
            <w:tcW w:w="1152" w:type="dxa"/>
            <w:shd w:val="clear" w:color="auto" w:fill="F1F4F7"/>
            <w:vAlign w:val="center"/>
          </w:tcPr>
          <w:p w14:paraId="0F7047E4" w14:textId="77777777" w:rsidR="0033298C" w:rsidRDefault="00000000">
            <w:pPr>
              <w:spacing w:after="0"/>
            </w:pPr>
            <w:r>
              <w:rPr>
                <w:sz w:val="12"/>
              </w:rPr>
              <w:t>5/5</w:t>
            </w:r>
          </w:p>
        </w:tc>
        <w:tc>
          <w:tcPr>
            <w:tcW w:w="1152" w:type="dxa"/>
            <w:shd w:val="clear" w:color="auto" w:fill="F1F4F7"/>
            <w:vAlign w:val="center"/>
          </w:tcPr>
          <w:p w14:paraId="6182B285" w14:textId="77777777" w:rsidR="0033298C" w:rsidRDefault="00000000">
            <w:pPr>
              <w:spacing w:after="0"/>
            </w:pPr>
            <w:r>
              <w:rPr>
                <w:sz w:val="12"/>
              </w:rPr>
              <w:t>Low</w:t>
            </w:r>
          </w:p>
        </w:tc>
        <w:tc>
          <w:tcPr>
            <w:tcW w:w="1152" w:type="dxa"/>
            <w:shd w:val="clear" w:color="auto" w:fill="F1F4F7"/>
            <w:vAlign w:val="center"/>
          </w:tcPr>
          <w:p w14:paraId="6E077719" w14:textId="77777777" w:rsidR="0033298C" w:rsidRDefault="00000000">
            <w:pPr>
              <w:spacing w:after="0"/>
            </w:pPr>
            <w:r>
              <w:rPr>
                <w:sz w:val="12"/>
              </w:rPr>
              <w:t>Average</w:t>
            </w:r>
          </w:p>
        </w:tc>
      </w:tr>
      <w:tr w:rsidR="0033298C" w14:paraId="4146BA85" w14:textId="77777777">
        <w:trPr>
          <w:cantSplit/>
          <w:jc w:val="center"/>
        </w:trPr>
        <w:tc>
          <w:tcPr>
            <w:tcW w:w="1152" w:type="dxa"/>
            <w:vAlign w:val="center"/>
          </w:tcPr>
          <w:p w14:paraId="1AF40311" w14:textId="77777777" w:rsidR="0033298C" w:rsidRDefault="00000000">
            <w:pPr>
              <w:spacing w:after="0"/>
            </w:pPr>
            <w:r>
              <w:rPr>
                <w:sz w:val="12"/>
              </w:rPr>
              <w:t>ABSL</w:t>
            </w:r>
          </w:p>
        </w:tc>
        <w:tc>
          <w:tcPr>
            <w:tcW w:w="1152" w:type="dxa"/>
            <w:vAlign w:val="center"/>
          </w:tcPr>
          <w:p w14:paraId="1E2663C4" w14:textId="77777777" w:rsidR="0033298C" w:rsidRDefault="00000000">
            <w:pPr>
              <w:spacing w:after="0"/>
            </w:pPr>
            <w:r>
              <w:rPr>
                <w:sz w:val="12"/>
              </w:rPr>
              <w:t>2.01%</w:t>
            </w:r>
          </w:p>
        </w:tc>
        <w:tc>
          <w:tcPr>
            <w:tcW w:w="1152" w:type="dxa"/>
            <w:vAlign w:val="center"/>
          </w:tcPr>
          <w:p w14:paraId="41CE1FB5" w14:textId="77777777" w:rsidR="0033298C" w:rsidRDefault="00000000">
            <w:pPr>
              <w:spacing w:after="0"/>
            </w:pPr>
            <w:r>
              <w:rPr>
                <w:sz w:val="12"/>
              </w:rPr>
              <w:t>₹6,472 Cr</w:t>
            </w:r>
          </w:p>
        </w:tc>
        <w:tc>
          <w:tcPr>
            <w:tcW w:w="1152" w:type="dxa"/>
            <w:vAlign w:val="center"/>
          </w:tcPr>
          <w:p w14:paraId="1BA343DD" w14:textId="77777777" w:rsidR="0033298C" w:rsidRDefault="00000000">
            <w:pPr>
              <w:spacing w:after="0"/>
            </w:pPr>
            <w:r>
              <w:rPr>
                <w:sz w:val="12"/>
              </w:rPr>
              <w:t>8 Oct 2026</w:t>
            </w:r>
          </w:p>
        </w:tc>
        <w:tc>
          <w:tcPr>
            <w:tcW w:w="1152" w:type="dxa"/>
            <w:vAlign w:val="center"/>
          </w:tcPr>
          <w:p w14:paraId="616F3858" w14:textId="77777777" w:rsidR="0033298C" w:rsidRDefault="00000000">
            <w:pPr>
              <w:spacing w:after="0"/>
            </w:pPr>
            <w:r>
              <w:rPr>
                <w:sz w:val="12"/>
              </w:rPr>
              <w:t>AMFI/MFIC</w:t>
            </w:r>
          </w:p>
        </w:tc>
        <w:tc>
          <w:tcPr>
            <w:tcW w:w="1152" w:type="dxa"/>
            <w:vAlign w:val="center"/>
          </w:tcPr>
          <w:p w14:paraId="02D1779E" w14:textId="77777777" w:rsidR="0033298C" w:rsidRDefault="00000000">
            <w:pPr>
              <w:spacing w:after="0"/>
            </w:pPr>
            <w:r>
              <w:rPr>
                <w:sz w:val="12"/>
              </w:rPr>
              <w:t>83.00%</w:t>
            </w:r>
          </w:p>
        </w:tc>
        <w:tc>
          <w:tcPr>
            <w:tcW w:w="1152" w:type="dxa"/>
            <w:vAlign w:val="center"/>
          </w:tcPr>
          <w:p w14:paraId="38E68E3D" w14:textId="77777777" w:rsidR="0033298C" w:rsidRDefault="00000000">
            <w:pPr>
              <w:spacing w:after="0"/>
            </w:pPr>
            <w:r>
              <w:rPr>
                <w:sz w:val="12"/>
              </w:rPr>
              <w:t>3/5</w:t>
            </w:r>
          </w:p>
        </w:tc>
        <w:tc>
          <w:tcPr>
            <w:tcW w:w="1152" w:type="dxa"/>
            <w:vAlign w:val="center"/>
          </w:tcPr>
          <w:p w14:paraId="7FEB8995" w14:textId="77777777" w:rsidR="0033298C" w:rsidRDefault="00000000">
            <w:pPr>
              <w:spacing w:after="0"/>
            </w:pPr>
            <w:r>
              <w:rPr>
                <w:sz w:val="12"/>
              </w:rPr>
              <w:t>High</w:t>
            </w:r>
          </w:p>
        </w:tc>
        <w:tc>
          <w:tcPr>
            <w:tcW w:w="1152" w:type="dxa"/>
            <w:vAlign w:val="center"/>
          </w:tcPr>
          <w:p w14:paraId="0A0A1EA8" w14:textId="77777777" w:rsidR="0033298C" w:rsidRDefault="00000000">
            <w:pPr>
              <w:spacing w:after="0"/>
            </w:pPr>
            <w:r>
              <w:rPr>
                <w:sz w:val="12"/>
              </w:rPr>
              <w:t>Above Average</w:t>
            </w:r>
          </w:p>
        </w:tc>
      </w:tr>
      <w:tr w:rsidR="0033298C" w14:paraId="10B4A96D" w14:textId="77777777">
        <w:trPr>
          <w:cantSplit/>
          <w:jc w:val="center"/>
        </w:trPr>
        <w:tc>
          <w:tcPr>
            <w:tcW w:w="1152" w:type="dxa"/>
            <w:shd w:val="clear" w:color="auto" w:fill="F1F4F7"/>
            <w:vAlign w:val="center"/>
          </w:tcPr>
          <w:p w14:paraId="516E4F97" w14:textId="77777777" w:rsidR="0033298C" w:rsidRDefault="00000000">
            <w:pPr>
              <w:spacing w:after="0"/>
            </w:pPr>
            <w:r>
              <w:rPr>
                <w:sz w:val="12"/>
              </w:rPr>
              <w:t>Nippon</w:t>
            </w:r>
          </w:p>
        </w:tc>
        <w:tc>
          <w:tcPr>
            <w:tcW w:w="1152" w:type="dxa"/>
            <w:shd w:val="clear" w:color="auto" w:fill="F1F4F7"/>
            <w:vAlign w:val="center"/>
          </w:tcPr>
          <w:p w14:paraId="0FF03471" w14:textId="77777777" w:rsidR="0033298C" w:rsidRDefault="00000000">
            <w:pPr>
              <w:spacing w:after="0"/>
            </w:pPr>
            <w:r>
              <w:rPr>
                <w:sz w:val="12"/>
              </w:rPr>
              <w:t>2.00%</w:t>
            </w:r>
          </w:p>
        </w:tc>
        <w:tc>
          <w:tcPr>
            <w:tcW w:w="1152" w:type="dxa"/>
            <w:shd w:val="clear" w:color="auto" w:fill="F1F4F7"/>
            <w:vAlign w:val="center"/>
          </w:tcPr>
          <w:p w14:paraId="0D188BB3" w14:textId="77777777" w:rsidR="0033298C" w:rsidRDefault="00000000">
            <w:pPr>
              <w:spacing w:after="0"/>
            </w:pPr>
            <w:r>
              <w:rPr>
                <w:sz w:val="12"/>
              </w:rPr>
              <w:t>₹8,521 Cr</w:t>
            </w:r>
          </w:p>
        </w:tc>
        <w:tc>
          <w:tcPr>
            <w:tcW w:w="1152" w:type="dxa"/>
            <w:shd w:val="clear" w:color="auto" w:fill="F1F4F7"/>
            <w:vAlign w:val="center"/>
          </w:tcPr>
          <w:p w14:paraId="01B411CC" w14:textId="77777777" w:rsidR="0033298C" w:rsidRDefault="00000000">
            <w:pPr>
              <w:spacing w:after="0"/>
            </w:pPr>
            <w:r>
              <w:rPr>
                <w:sz w:val="12"/>
              </w:rPr>
              <w:t>8 Oct 2026</w:t>
            </w:r>
          </w:p>
        </w:tc>
        <w:tc>
          <w:tcPr>
            <w:tcW w:w="1152" w:type="dxa"/>
            <w:shd w:val="clear" w:color="auto" w:fill="F1F4F7"/>
            <w:vAlign w:val="center"/>
          </w:tcPr>
          <w:p w14:paraId="741B6253" w14:textId="77777777" w:rsidR="0033298C" w:rsidRDefault="00000000">
            <w:pPr>
              <w:spacing w:after="0"/>
            </w:pPr>
            <w:r>
              <w:rPr>
                <w:sz w:val="12"/>
              </w:rPr>
              <w:t>AMFI/MFIC</w:t>
            </w:r>
          </w:p>
        </w:tc>
        <w:tc>
          <w:tcPr>
            <w:tcW w:w="1152" w:type="dxa"/>
            <w:shd w:val="clear" w:color="auto" w:fill="F1F4F7"/>
            <w:vAlign w:val="center"/>
          </w:tcPr>
          <w:p w14:paraId="5997F23B" w14:textId="77777777" w:rsidR="0033298C" w:rsidRDefault="00000000">
            <w:pPr>
              <w:spacing w:after="0"/>
            </w:pPr>
            <w:r>
              <w:rPr>
                <w:sz w:val="12"/>
              </w:rPr>
              <w:t>53.00%</w:t>
            </w:r>
          </w:p>
        </w:tc>
        <w:tc>
          <w:tcPr>
            <w:tcW w:w="1152" w:type="dxa"/>
            <w:shd w:val="clear" w:color="auto" w:fill="F1F4F7"/>
            <w:vAlign w:val="center"/>
          </w:tcPr>
          <w:p w14:paraId="35349761" w14:textId="77777777" w:rsidR="0033298C" w:rsidRDefault="00000000">
            <w:pPr>
              <w:spacing w:after="0"/>
            </w:pPr>
            <w:r>
              <w:rPr>
                <w:sz w:val="12"/>
              </w:rPr>
              <w:t>4/5</w:t>
            </w:r>
          </w:p>
        </w:tc>
        <w:tc>
          <w:tcPr>
            <w:tcW w:w="1152" w:type="dxa"/>
            <w:shd w:val="clear" w:color="auto" w:fill="F1F4F7"/>
            <w:vAlign w:val="center"/>
          </w:tcPr>
          <w:p w14:paraId="3DA024D4" w14:textId="77777777" w:rsidR="0033298C" w:rsidRDefault="00000000">
            <w:pPr>
              <w:spacing w:after="0"/>
            </w:pPr>
            <w:r>
              <w:rPr>
                <w:sz w:val="12"/>
              </w:rPr>
              <w:t>Average</w:t>
            </w:r>
          </w:p>
        </w:tc>
        <w:tc>
          <w:tcPr>
            <w:tcW w:w="1152" w:type="dxa"/>
            <w:shd w:val="clear" w:color="auto" w:fill="F1F4F7"/>
            <w:vAlign w:val="center"/>
          </w:tcPr>
          <w:p w14:paraId="43B1A285" w14:textId="77777777" w:rsidR="0033298C" w:rsidRDefault="00000000">
            <w:pPr>
              <w:spacing w:after="0"/>
            </w:pPr>
            <w:r>
              <w:rPr>
                <w:sz w:val="12"/>
              </w:rPr>
              <w:t>Above Average</w:t>
            </w:r>
          </w:p>
        </w:tc>
      </w:tr>
    </w:tbl>
    <w:p w14:paraId="7DD47DA8" w14:textId="77777777" w:rsidR="0033298C" w:rsidRDefault="0033298C">
      <w:pPr>
        <w:spacing w:after="20"/>
      </w:pPr>
    </w:p>
    <w:p w14:paraId="5BE585AC" w14:textId="77777777" w:rsidR="0033298C" w:rsidRDefault="00000000">
      <w:r>
        <w:t>*Portfolio turnover and Value Research risk/return grades are from Value Research scheme pages where visible, with their own update dates; blank/not surfaced is not zero. TER figures are the latest AMFI-reported Regular-plan total expense ratios shown in the MFIC pages. DSP AUM is the ET Money figure for 31 Aug 2026 because the AMFI AUM value was not surfaced in the retrieved snapshot.</w:t>
      </w:r>
    </w:p>
    <w:p w14:paraId="0F460A34" w14:textId="77777777" w:rsidR="0033298C" w:rsidRDefault="00000000">
      <w:r>
        <w:br w:type="page"/>
      </w:r>
    </w:p>
    <w:p w14:paraId="0D0223E4" w14:textId="77777777" w:rsidR="0033298C" w:rsidRDefault="00000000">
      <w:pPr>
        <w:pStyle w:val="Heading1"/>
      </w:pPr>
      <w:r>
        <w:lastRenderedPageBreak/>
        <w:t>Portfolio mix and concentration signals</w:t>
      </w:r>
    </w:p>
    <w:p w14:paraId="2627A1BE" w14:textId="77777777" w:rsidR="0033298C" w:rsidRDefault="00000000">
      <w:pPr>
        <w:spacing w:after="40"/>
        <w:jc w:val="center"/>
      </w:pPr>
      <w:r>
        <w:rPr>
          <w:noProof/>
        </w:rPr>
        <w:drawing>
          <wp:inline distT="0" distB="0" distL="0" distR="0" wp14:anchorId="1D048BD5" wp14:editId="52752738">
            <wp:extent cx="6400800" cy="30359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_cap.png"/>
                    <pic:cNvPicPr/>
                  </pic:nvPicPr>
                  <pic:blipFill>
                    <a:blip r:embed="rId15"/>
                    <a:stretch>
                      <a:fillRect/>
                    </a:stretch>
                  </pic:blipFill>
                  <pic:spPr>
                    <a:xfrm>
                      <a:off x="0" y="0"/>
                      <a:ext cx="6400800" cy="3035911"/>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296"/>
        <w:gridCol w:w="1296"/>
        <w:gridCol w:w="1296"/>
        <w:gridCol w:w="1296"/>
        <w:gridCol w:w="1296"/>
        <w:gridCol w:w="1296"/>
        <w:gridCol w:w="1296"/>
        <w:gridCol w:w="1296"/>
      </w:tblGrid>
      <w:tr w:rsidR="0033298C" w14:paraId="528EF241" w14:textId="77777777">
        <w:trPr>
          <w:tblHeader/>
          <w:jc w:val="center"/>
        </w:trPr>
        <w:tc>
          <w:tcPr>
            <w:tcW w:w="1296" w:type="dxa"/>
            <w:shd w:val="clear" w:color="auto" w:fill="17324D"/>
            <w:vAlign w:val="center"/>
          </w:tcPr>
          <w:p w14:paraId="5974CD8A" w14:textId="77777777" w:rsidR="0033298C" w:rsidRDefault="00000000">
            <w:pPr>
              <w:spacing w:after="0"/>
            </w:pPr>
            <w:r>
              <w:rPr>
                <w:b/>
                <w:color w:val="FFFFFF"/>
                <w:sz w:val="12"/>
              </w:rPr>
              <w:t>Scheme</w:t>
            </w:r>
          </w:p>
        </w:tc>
        <w:tc>
          <w:tcPr>
            <w:tcW w:w="1296" w:type="dxa"/>
            <w:shd w:val="clear" w:color="auto" w:fill="17324D"/>
            <w:vAlign w:val="center"/>
          </w:tcPr>
          <w:p w14:paraId="70FE06F7" w14:textId="77777777" w:rsidR="0033298C" w:rsidRDefault="00000000">
            <w:pPr>
              <w:spacing w:after="0"/>
            </w:pPr>
            <w:r>
              <w:rPr>
                <w:b/>
                <w:color w:val="FFFFFF"/>
                <w:sz w:val="12"/>
              </w:rPr>
              <w:t>Large cap</w:t>
            </w:r>
          </w:p>
        </w:tc>
        <w:tc>
          <w:tcPr>
            <w:tcW w:w="1296" w:type="dxa"/>
            <w:shd w:val="clear" w:color="auto" w:fill="17324D"/>
            <w:vAlign w:val="center"/>
          </w:tcPr>
          <w:p w14:paraId="5C5E17C8" w14:textId="77777777" w:rsidR="0033298C" w:rsidRDefault="00000000">
            <w:pPr>
              <w:spacing w:after="0"/>
            </w:pPr>
            <w:r>
              <w:rPr>
                <w:b/>
                <w:color w:val="FFFFFF"/>
                <w:sz w:val="12"/>
              </w:rPr>
              <w:t>Mid cap</w:t>
            </w:r>
          </w:p>
        </w:tc>
        <w:tc>
          <w:tcPr>
            <w:tcW w:w="1296" w:type="dxa"/>
            <w:shd w:val="clear" w:color="auto" w:fill="17324D"/>
            <w:vAlign w:val="center"/>
          </w:tcPr>
          <w:p w14:paraId="20C33CC8" w14:textId="77777777" w:rsidR="0033298C" w:rsidRDefault="00000000">
            <w:pPr>
              <w:spacing w:after="0"/>
            </w:pPr>
            <w:r>
              <w:rPr>
                <w:b/>
                <w:color w:val="FFFFFF"/>
                <w:sz w:val="12"/>
              </w:rPr>
              <w:t>Small cap</w:t>
            </w:r>
          </w:p>
        </w:tc>
        <w:tc>
          <w:tcPr>
            <w:tcW w:w="1296" w:type="dxa"/>
            <w:shd w:val="clear" w:color="auto" w:fill="17324D"/>
            <w:vAlign w:val="center"/>
          </w:tcPr>
          <w:p w14:paraId="7CFF986C" w14:textId="77777777" w:rsidR="0033298C" w:rsidRDefault="00000000">
            <w:pPr>
              <w:spacing w:after="0"/>
            </w:pPr>
            <w:r>
              <w:rPr>
                <w:b/>
                <w:color w:val="FFFFFF"/>
                <w:sz w:val="12"/>
              </w:rPr>
              <w:t>Financials sector</w:t>
            </w:r>
          </w:p>
        </w:tc>
        <w:tc>
          <w:tcPr>
            <w:tcW w:w="1296" w:type="dxa"/>
            <w:shd w:val="clear" w:color="auto" w:fill="17324D"/>
            <w:vAlign w:val="center"/>
          </w:tcPr>
          <w:p w14:paraId="74876A48" w14:textId="77777777" w:rsidR="0033298C" w:rsidRDefault="00000000">
            <w:pPr>
              <w:spacing w:after="0"/>
            </w:pPr>
            <w:r>
              <w:rPr>
                <w:b/>
                <w:color w:val="FFFFFF"/>
                <w:sz w:val="12"/>
              </w:rPr>
              <w:t>Next-largest sector (reported)</w:t>
            </w:r>
          </w:p>
        </w:tc>
        <w:tc>
          <w:tcPr>
            <w:tcW w:w="1296" w:type="dxa"/>
            <w:shd w:val="clear" w:color="auto" w:fill="17324D"/>
            <w:vAlign w:val="center"/>
          </w:tcPr>
          <w:p w14:paraId="0A054086" w14:textId="77777777" w:rsidR="0033298C" w:rsidRDefault="00000000">
            <w:pPr>
              <w:spacing w:after="0"/>
            </w:pPr>
            <w:r>
              <w:rPr>
                <w:b/>
                <w:color w:val="FFFFFF"/>
                <w:sz w:val="12"/>
              </w:rPr>
              <w:t>Selected top holdings</w:t>
            </w:r>
          </w:p>
        </w:tc>
        <w:tc>
          <w:tcPr>
            <w:tcW w:w="1296" w:type="dxa"/>
            <w:shd w:val="clear" w:color="auto" w:fill="17324D"/>
            <w:vAlign w:val="center"/>
          </w:tcPr>
          <w:p w14:paraId="06890B9B" w14:textId="77777777" w:rsidR="0033298C" w:rsidRDefault="00000000">
            <w:pPr>
              <w:spacing w:after="0"/>
            </w:pPr>
            <w:r>
              <w:rPr>
                <w:b/>
                <w:color w:val="FFFFFF"/>
                <w:sz w:val="12"/>
              </w:rPr>
              <w:t>Portfolio date</w:t>
            </w:r>
          </w:p>
        </w:tc>
      </w:tr>
      <w:tr w:rsidR="0033298C" w14:paraId="188F9987" w14:textId="77777777">
        <w:trPr>
          <w:cantSplit/>
          <w:jc w:val="center"/>
        </w:trPr>
        <w:tc>
          <w:tcPr>
            <w:tcW w:w="1296" w:type="dxa"/>
            <w:vAlign w:val="center"/>
          </w:tcPr>
          <w:p w14:paraId="50F08340" w14:textId="77777777" w:rsidR="0033298C" w:rsidRDefault="00000000">
            <w:pPr>
              <w:spacing w:after="0"/>
            </w:pPr>
            <w:r>
              <w:rPr>
                <w:sz w:val="12"/>
              </w:rPr>
              <w:t>HDFC</w:t>
            </w:r>
          </w:p>
        </w:tc>
        <w:tc>
          <w:tcPr>
            <w:tcW w:w="1296" w:type="dxa"/>
            <w:vAlign w:val="center"/>
          </w:tcPr>
          <w:p w14:paraId="35E80DB6" w14:textId="77777777" w:rsidR="0033298C" w:rsidRDefault="00000000">
            <w:pPr>
              <w:spacing w:after="0"/>
            </w:pPr>
            <w:r>
              <w:rPr>
                <w:sz w:val="12"/>
              </w:rPr>
              <w:t>56.6%</w:t>
            </w:r>
          </w:p>
        </w:tc>
        <w:tc>
          <w:tcPr>
            <w:tcW w:w="1296" w:type="dxa"/>
            <w:vAlign w:val="center"/>
          </w:tcPr>
          <w:p w14:paraId="2262C254" w14:textId="77777777" w:rsidR="0033298C" w:rsidRDefault="00000000">
            <w:pPr>
              <w:spacing w:after="0"/>
            </w:pPr>
            <w:r>
              <w:rPr>
                <w:sz w:val="12"/>
              </w:rPr>
              <w:t>22.7%</w:t>
            </w:r>
          </w:p>
        </w:tc>
        <w:tc>
          <w:tcPr>
            <w:tcW w:w="1296" w:type="dxa"/>
            <w:vAlign w:val="center"/>
          </w:tcPr>
          <w:p w14:paraId="41C5E7BB" w14:textId="77777777" w:rsidR="0033298C" w:rsidRDefault="00000000">
            <w:pPr>
              <w:spacing w:after="0"/>
            </w:pPr>
            <w:r>
              <w:rPr>
                <w:sz w:val="12"/>
              </w:rPr>
              <w:t>19.7%</w:t>
            </w:r>
          </w:p>
        </w:tc>
        <w:tc>
          <w:tcPr>
            <w:tcW w:w="1296" w:type="dxa"/>
            <w:vAlign w:val="center"/>
          </w:tcPr>
          <w:p w14:paraId="6057DB41" w14:textId="77777777" w:rsidR="0033298C" w:rsidRDefault="00000000">
            <w:pPr>
              <w:spacing w:after="0"/>
            </w:pPr>
            <w:r>
              <w:rPr>
                <w:sz w:val="12"/>
              </w:rPr>
              <w:t>30.7%</w:t>
            </w:r>
          </w:p>
        </w:tc>
        <w:tc>
          <w:tcPr>
            <w:tcW w:w="1296" w:type="dxa"/>
            <w:vAlign w:val="center"/>
          </w:tcPr>
          <w:p w14:paraId="25834327" w14:textId="77777777" w:rsidR="0033298C" w:rsidRDefault="00000000">
            <w:pPr>
              <w:spacing w:after="0"/>
            </w:pPr>
            <w:r>
              <w:rPr>
                <w:sz w:val="12"/>
              </w:rPr>
              <w:t>Automobile 9.9%</w:t>
            </w:r>
          </w:p>
        </w:tc>
        <w:tc>
          <w:tcPr>
            <w:tcW w:w="1296" w:type="dxa"/>
            <w:vAlign w:val="center"/>
          </w:tcPr>
          <w:p w14:paraId="37B3F048" w14:textId="77777777" w:rsidR="0033298C" w:rsidRDefault="00000000">
            <w:pPr>
              <w:spacing w:after="0"/>
            </w:pPr>
            <w:r>
              <w:rPr>
                <w:sz w:val="12"/>
              </w:rPr>
              <w:t>ICICI Bank 6.78%; HDFC Bank 4.88%; SBI 3.43%; Axis Bank 3.25%</w:t>
            </w:r>
          </w:p>
        </w:tc>
        <w:tc>
          <w:tcPr>
            <w:tcW w:w="1296" w:type="dxa"/>
            <w:vAlign w:val="center"/>
          </w:tcPr>
          <w:p w14:paraId="0D15CE14" w14:textId="77777777" w:rsidR="0033298C" w:rsidRDefault="00000000">
            <w:pPr>
              <w:spacing w:after="0"/>
            </w:pPr>
            <w:r>
              <w:rPr>
                <w:sz w:val="12"/>
              </w:rPr>
              <w:t>30 Sep 2026</w:t>
            </w:r>
          </w:p>
        </w:tc>
      </w:tr>
      <w:tr w:rsidR="0033298C" w14:paraId="283C9977" w14:textId="77777777">
        <w:trPr>
          <w:cantSplit/>
          <w:jc w:val="center"/>
        </w:trPr>
        <w:tc>
          <w:tcPr>
            <w:tcW w:w="1296" w:type="dxa"/>
            <w:shd w:val="clear" w:color="auto" w:fill="F1F4F7"/>
            <w:vAlign w:val="center"/>
          </w:tcPr>
          <w:p w14:paraId="580195BA" w14:textId="77777777" w:rsidR="0033298C" w:rsidRDefault="00000000">
            <w:pPr>
              <w:spacing w:after="0"/>
            </w:pPr>
            <w:r>
              <w:rPr>
                <w:sz w:val="12"/>
              </w:rPr>
              <w:t>ICICI Pru</w:t>
            </w:r>
          </w:p>
        </w:tc>
        <w:tc>
          <w:tcPr>
            <w:tcW w:w="1296" w:type="dxa"/>
            <w:shd w:val="clear" w:color="auto" w:fill="F1F4F7"/>
            <w:vAlign w:val="center"/>
          </w:tcPr>
          <w:p w14:paraId="4FD9D790" w14:textId="77777777" w:rsidR="0033298C" w:rsidRDefault="00000000">
            <w:pPr>
              <w:spacing w:after="0"/>
            </w:pPr>
            <w:r>
              <w:rPr>
                <w:sz w:val="12"/>
              </w:rPr>
              <w:t>82.7%</w:t>
            </w:r>
          </w:p>
        </w:tc>
        <w:tc>
          <w:tcPr>
            <w:tcW w:w="1296" w:type="dxa"/>
            <w:shd w:val="clear" w:color="auto" w:fill="F1F4F7"/>
            <w:vAlign w:val="center"/>
          </w:tcPr>
          <w:p w14:paraId="732F84BA" w14:textId="77777777" w:rsidR="0033298C" w:rsidRDefault="00000000">
            <w:pPr>
              <w:spacing w:after="0"/>
            </w:pPr>
            <w:r>
              <w:rPr>
                <w:sz w:val="12"/>
              </w:rPr>
              <w:t>6.1%</w:t>
            </w:r>
          </w:p>
        </w:tc>
        <w:tc>
          <w:tcPr>
            <w:tcW w:w="1296" w:type="dxa"/>
            <w:shd w:val="clear" w:color="auto" w:fill="F1F4F7"/>
            <w:vAlign w:val="center"/>
          </w:tcPr>
          <w:p w14:paraId="0103D679" w14:textId="77777777" w:rsidR="0033298C" w:rsidRDefault="00000000">
            <w:pPr>
              <w:spacing w:after="0"/>
            </w:pPr>
            <w:r>
              <w:rPr>
                <w:sz w:val="12"/>
              </w:rPr>
              <w:t>7.6%</w:t>
            </w:r>
          </w:p>
        </w:tc>
        <w:tc>
          <w:tcPr>
            <w:tcW w:w="1296" w:type="dxa"/>
            <w:shd w:val="clear" w:color="auto" w:fill="F1F4F7"/>
            <w:vAlign w:val="center"/>
          </w:tcPr>
          <w:p w14:paraId="0B47A006" w14:textId="77777777" w:rsidR="0033298C" w:rsidRDefault="00000000">
            <w:pPr>
              <w:spacing w:after="0"/>
            </w:pPr>
            <w:r>
              <w:rPr>
                <w:sz w:val="12"/>
              </w:rPr>
              <w:t>29.0%</w:t>
            </w:r>
          </w:p>
        </w:tc>
        <w:tc>
          <w:tcPr>
            <w:tcW w:w="1296" w:type="dxa"/>
            <w:shd w:val="clear" w:color="auto" w:fill="F1F4F7"/>
            <w:vAlign w:val="center"/>
          </w:tcPr>
          <w:p w14:paraId="55D2C545" w14:textId="77777777" w:rsidR="0033298C" w:rsidRDefault="00000000">
            <w:pPr>
              <w:spacing w:after="0"/>
            </w:pPr>
            <w:r>
              <w:rPr>
                <w:sz w:val="12"/>
              </w:rPr>
              <w:t>Energy 9.6%</w:t>
            </w:r>
          </w:p>
        </w:tc>
        <w:tc>
          <w:tcPr>
            <w:tcW w:w="1296" w:type="dxa"/>
            <w:shd w:val="clear" w:color="auto" w:fill="F1F4F7"/>
            <w:vAlign w:val="center"/>
          </w:tcPr>
          <w:p w14:paraId="11E6CB2A" w14:textId="77777777" w:rsidR="0033298C" w:rsidRDefault="00000000">
            <w:pPr>
              <w:spacing w:after="0"/>
            </w:pPr>
            <w:r>
              <w:rPr>
                <w:sz w:val="12"/>
              </w:rPr>
              <w:t>ICICI Bank 9.77%; HDFC Bank 9.04%; Reliance 5.14%; ITC 4.52%</w:t>
            </w:r>
          </w:p>
        </w:tc>
        <w:tc>
          <w:tcPr>
            <w:tcW w:w="1296" w:type="dxa"/>
            <w:shd w:val="clear" w:color="auto" w:fill="F1F4F7"/>
            <w:vAlign w:val="center"/>
          </w:tcPr>
          <w:p w14:paraId="5E0CB304" w14:textId="77777777" w:rsidR="0033298C" w:rsidRDefault="00000000">
            <w:pPr>
              <w:spacing w:after="0"/>
            </w:pPr>
            <w:r>
              <w:rPr>
                <w:sz w:val="12"/>
              </w:rPr>
              <w:t>30 Sep 2026</w:t>
            </w:r>
          </w:p>
        </w:tc>
      </w:tr>
      <w:tr w:rsidR="0033298C" w14:paraId="2DE7D925" w14:textId="77777777">
        <w:trPr>
          <w:cantSplit/>
          <w:jc w:val="center"/>
        </w:trPr>
        <w:tc>
          <w:tcPr>
            <w:tcW w:w="1296" w:type="dxa"/>
            <w:vAlign w:val="center"/>
          </w:tcPr>
          <w:p w14:paraId="37D82B1F" w14:textId="77777777" w:rsidR="0033298C" w:rsidRDefault="00000000">
            <w:pPr>
              <w:spacing w:after="0"/>
            </w:pPr>
            <w:r>
              <w:rPr>
                <w:sz w:val="12"/>
              </w:rPr>
              <w:t>Axis</w:t>
            </w:r>
          </w:p>
        </w:tc>
        <w:tc>
          <w:tcPr>
            <w:tcW w:w="1296" w:type="dxa"/>
            <w:vAlign w:val="center"/>
          </w:tcPr>
          <w:p w14:paraId="7AFB0346" w14:textId="77777777" w:rsidR="0033298C" w:rsidRDefault="00000000">
            <w:pPr>
              <w:spacing w:after="0"/>
            </w:pPr>
            <w:r>
              <w:rPr>
                <w:sz w:val="12"/>
              </w:rPr>
              <w:t>59.7%</w:t>
            </w:r>
          </w:p>
        </w:tc>
        <w:tc>
          <w:tcPr>
            <w:tcW w:w="1296" w:type="dxa"/>
            <w:vAlign w:val="center"/>
          </w:tcPr>
          <w:p w14:paraId="0AB98B6B" w14:textId="77777777" w:rsidR="0033298C" w:rsidRDefault="00000000">
            <w:pPr>
              <w:spacing w:after="0"/>
            </w:pPr>
            <w:r>
              <w:rPr>
                <w:sz w:val="12"/>
              </w:rPr>
              <w:t>16.6%</w:t>
            </w:r>
          </w:p>
        </w:tc>
        <w:tc>
          <w:tcPr>
            <w:tcW w:w="1296" w:type="dxa"/>
            <w:vAlign w:val="center"/>
          </w:tcPr>
          <w:p w14:paraId="0B264C6F" w14:textId="77777777" w:rsidR="0033298C" w:rsidRDefault="00000000">
            <w:pPr>
              <w:spacing w:after="0"/>
            </w:pPr>
            <w:r>
              <w:rPr>
                <w:sz w:val="12"/>
              </w:rPr>
              <w:t>20.2%</w:t>
            </w:r>
          </w:p>
        </w:tc>
        <w:tc>
          <w:tcPr>
            <w:tcW w:w="1296" w:type="dxa"/>
            <w:vAlign w:val="center"/>
          </w:tcPr>
          <w:p w14:paraId="574EF984" w14:textId="77777777" w:rsidR="0033298C" w:rsidRDefault="00000000">
            <w:pPr>
              <w:spacing w:after="0"/>
            </w:pPr>
            <w:r>
              <w:rPr>
                <w:sz w:val="12"/>
              </w:rPr>
              <w:t>29.9%</w:t>
            </w:r>
          </w:p>
        </w:tc>
        <w:tc>
          <w:tcPr>
            <w:tcW w:w="1296" w:type="dxa"/>
            <w:vAlign w:val="center"/>
          </w:tcPr>
          <w:p w14:paraId="0BC729D4" w14:textId="77777777" w:rsidR="0033298C" w:rsidRDefault="00000000">
            <w:pPr>
              <w:spacing w:after="0"/>
            </w:pPr>
            <w:r>
              <w:rPr>
                <w:sz w:val="12"/>
              </w:rPr>
              <w:t>Automobile 12.6%</w:t>
            </w:r>
          </w:p>
        </w:tc>
        <w:tc>
          <w:tcPr>
            <w:tcW w:w="1296" w:type="dxa"/>
            <w:vAlign w:val="center"/>
          </w:tcPr>
          <w:p w14:paraId="729C5A91" w14:textId="77777777" w:rsidR="0033298C" w:rsidRDefault="00000000">
            <w:pPr>
              <w:spacing w:after="0"/>
            </w:pPr>
            <w:r>
              <w:rPr>
                <w:sz w:val="12"/>
              </w:rPr>
              <w:t>ICICI Bank 5.40%; HDFC Bank 4.99%; Reliance 3.69%; Shriram Finance 2.87%</w:t>
            </w:r>
          </w:p>
        </w:tc>
        <w:tc>
          <w:tcPr>
            <w:tcW w:w="1296" w:type="dxa"/>
            <w:vAlign w:val="center"/>
          </w:tcPr>
          <w:p w14:paraId="734B617C" w14:textId="77777777" w:rsidR="0033298C" w:rsidRDefault="00000000">
            <w:pPr>
              <w:spacing w:after="0"/>
            </w:pPr>
            <w:r>
              <w:rPr>
                <w:sz w:val="12"/>
              </w:rPr>
              <w:t>31 Aug 2026</w:t>
            </w:r>
          </w:p>
        </w:tc>
      </w:tr>
      <w:tr w:rsidR="0033298C" w14:paraId="31405F76" w14:textId="77777777">
        <w:trPr>
          <w:cantSplit/>
          <w:jc w:val="center"/>
        </w:trPr>
        <w:tc>
          <w:tcPr>
            <w:tcW w:w="1296" w:type="dxa"/>
            <w:shd w:val="clear" w:color="auto" w:fill="F1F4F7"/>
            <w:vAlign w:val="center"/>
          </w:tcPr>
          <w:p w14:paraId="3282271A" w14:textId="77777777" w:rsidR="0033298C" w:rsidRDefault="00000000">
            <w:pPr>
              <w:spacing w:after="0"/>
            </w:pPr>
            <w:r>
              <w:rPr>
                <w:sz w:val="12"/>
              </w:rPr>
              <w:t>DSP</w:t>
            </w:r>
          </w:p>
        </w:tc>
        <w:tc>
          <w:tcPr>
            <w:tcW w:w="1296" w:type="dxa"/>
            <w:shd w:val="clear" w:color="auto" w:fill="F1F4F7"/>
            <w:vAlign w:val="center"/>
          </w:tcPr>
          <w:p w14:paraId="4622CEEF" w14:textId="77777777" w:rsidR="0033298C" w:rsidRDefault="00000000">
            <w:pPr>
              <w:spacing w:after="0"/>
            </w:pPr>
            <w:r>
              <w:rPr>
                <w:sz w:val="12"/>
              </w:rPr>
              <w:t>69.8%</w:t>
            </w:r>
          </w:p>
        </w:tc>
        <w:tc>
          <w:tcPr>
            <w:tcW w:w="1296" w:type="dxa"/>
            <w:shd w:val="clear" w:color="auto" w:fill="F1F4F7"/>
            <w:vAlign w:val="center"/>
          </w:tcPr>
          <w:p w14:paraId="40699365" w14:textId="77777777" w:rsidR="0033298C" w:rsidRDefault="00000000">
            <w:pPr>
              <w:spacing w:after="0"/>
            </w:pPr>
            <w:r>
              <w:rPr>
                <w:sz w:val="12"/>
              </w:rPr>
              <w:t>10.1%</w:t>
            </w:r>
          </w:p>
        </w:tc>
        <w:tc>
          <w:tcPr>
            <w:tcW w:w="1296" w:type="dxa"/>
            <w:shd w:val="clear" w:color="auto" w:fill="F1F4F7"/>
            <w:vAlign w:val="center"/>
          </w:tcPr>
          <w:p w14:paraId="2D486B1A" w14:textId="77777777" w:rsidR="0033298C" w:rsidRDefault="00000000">
            <w:pPr>
              <w:spacing w:after="0"/>
            </w:pPr>
            <w:r>
              <w:rPr>
                <w:sz w:val="12"/>
              </w:rPr>
              <w:t>4.0%</w:t>
            </w:r>
          </w:p>
        </w:tc>
        <w:tc>
          <w:tcPr>
            <w:tcW w:w="1296" w:type="dxa"/>
            <w:shd w:val="clear" w:color="auto" w:fill="F1F4F7"/>
            <w:vAlign w:val="center"/>
          </w:tcPr>
          <w:p w14:paraId="4E417D04" w14:textId="77777777" w:rsidR="0033298C" w:rsidRDefault="00000000">
            <w:pPr>
              <w:spacing w:after="0"/>
            </w:pPr>
            <w:r>
              <w:rPr>
                <w:sz w:val="12"/>
              </w:rPr>
              <w:t>28.5%</w:t>
            </w:r>
          </w:p>
        </w:tc>
        <w:tc>
          <w:tcPr>
            <w:tcW w:w="1296" w:type="dxa"/>
            <w:shd w:val="clear" w:color="auto" w:fill="F1F4F7"/>
            <w:vAlign w:val="center"/>
          </w:tcPr>
          <w:p w14:paraId="4165E19D" w14:textId="77777777" w:rsidR="0033298C" w:rsidRDefault="00000000">
            <w:pPr>
              <w:spacing w:after="0"/>
            </w:pPr>
            <w:r>
              <w:rPr>
                <w:sz w:val="12"/>
              </w:rPr>
              <w:t>Automobile 9.4%</w:t>
            </w:r>
          </w:p>
        </w:tc>
        <w:tc>
          <w:tcPr>
            <w:tcW w:w="1296" w:type="dxa"/>
            <w:shd w:val="clear" w:color="auto" w:fill="F1F4F7"/>
            <w:vAlign w:val="center"/>
          </w:tcPr>
          <w:p w14:paraId="7C8D11BC" w14:textId="77777777" w:rsidR="0033298C" w:rsidRDefault="00000000">
            <w:pPr>
              <w:spacing w:after="0"/>
            </w:pPr>
            <w:r>
              <w:rPr>
                <w:sz w:val="12"/>
              </w:rPr>
              <w:t>HDFC Bank 8.72%; ICICI Bank 8.11%; Nifty 50 exposure 4.45%; M&amp;M 3.65%</w:t>
            </w:r>
          </w:p>
        </w:tc>
        <w:tc>
          <w:tcPr>
            <w:tcW w:w="1296" w:type="dxa"/>
            <w:shd w:val="clear" w:color="auto" w:fill="F1F4F7"/>
            <w:vAlign w:val="center"/>
          </w:tcPr>
          <w:p w14:paraId="4AEE40FF" w14:textId="77777777" w:rsidR="0033298C" w:rsidRDefault="00000000">
            <w:pPr>
              <w:spacing w:after="0"/>
            </w:pPr>
            <w:r>
              <w:rPr>
                <w:sz w:val="12"/>
              </w:rPr>
              <w:t>31 Aug 2026</w:t>
            </w:r>
          </w:p>
        </w:tc>
      </w:tr>
      <w:tr w:rsidR="0033298C" w14:paraId="570D1917" w14:textId="77777777">
        <w:trPr>
          <w:cantSplit/>
          <w:jc w:val="center"/>
        </w:trPr>
        <w:tc>
          <w:tcPr>
            <w:tcW w:w="1296" w:type="dxa"/>
            <w:vAlign w:val="center"/>
          </w:tcPr>
          <w:p w14:paraId="0D9B1021" w14:textId="77777777" w:rsidR="0033298C" w:rsidRDefault="00000000">
            <w:pPr>
              <w:spacing w:after="0"/>
            </w:pPr>
            <w:r>
              <w:rPr>
                <w:sz w:val="12"/>
              </w:rPr>
              <w:t>ABSL</w:t>
            </w:r>
          </w:p>
        </w:tc>
        <w:tc>
          <w:tcPr>
            <w:tcW w:w="1296" w:type="dxa"/>
            <w:vAlign w:val="center"/>
          </w:tcPr>
          <w:p w14:paraId="10C688CC" w14:textId="77777777" w:rsidR="0033298C" w:rsidRDefault="00000000">
            <w:pPr>
              <w:spacing w:after="0"/>
            </w:pPr>
            <w:r>
              <w:rPr>
                <w:sz w:val="12"/>
              </w:rPr>
              <w:t>52.2%</w:t>
            </w:r>
          </w:p>
        </w:tc>
        <w:tc>
          <w:tcPr>
            <w:tcW w:w="1296" w:type="dxa"/>
            <w:vAlign w:val="center"/>
          </w:tcPr>
          <w:p w14:paraId="2B7AC68A" w14:textId="77777777" w:rsidR="0033298C" w:rsidRDefault="00000000">
            <w:pPr>
              <w:spacing w:after="0"/>
            </w:pPr>
            <w:r>
              <w:rPr>
                <w:sz w:val="12"/>
              </w:rPr>
              <w:t>13.4%</w:t>
            </w:r>
          </w:p>
        </w:tc>
        <w:tc>
          <w:tcPr>
            <w:tcW w:w="1296" w:type="dxa"/>
            <w:vAlign w:val="center"/>
          </w:tcPr>
          <w:p w14:paraId="201F5A1A" w14:textId="77777777" w:rsidR="0033298C" w:rsidRDefault="00000000">
            <w:pPr>
              <w:spacing w:after="0"/>
            </w:pPr>
            <w:r>
              <w:rPr>
                <w:sz w:val="12"/>
              </w:rPr>
              <w:t>32.1%</w:t>
            </w:r>
          </w:p>
        </w:tc>
        <w:tc>
          <w:tcPr>
            <w:tcW w:w="1296" w:type="dxa"/>
            <w:vAlign w:val="center"/>
          </w:tcPr>
          <w:p w14:paraId="6DD0533C" w14:textId="77777777" w:rsidR="0033298C" w:rsidRDefault="00000000">
            <w:pPr>
              <w:spacing w:after="0"/>
            </w:pPr>
            <w:r>
              <w:rPr>
                <w:sz w:val="12"/>
              </w:rPr>
              <w:t>21.8%</w:t>
            </w:r>
          </w:p>
        </w:tc>
        <w:tc>
          <w:tcPr>
            <w:tcW w:w="1296" w:type="dxa"/>
            <w:vAlign w:val="center"/>
          </w:tcPr>
          <w:p w14:paraId="6C16230C" w14:textId="77777777" w:rsidR="0033298C" w:rsidRDefault="00000000">
            <w:pPr>
              <w:spacing w:after="0"/>
            </w:pPr>
            <w:r>
              <w:rPr>
                <w:sz w:val="12"/>
              </w:rPr>
              <w:t>Technology 11.2%</w:t>
            </w:r>
          </w:p>
        </w:tc>
        <w:tc>
          <w:tcPr>
            <w:tcW w:w="1296" w:type="dxa"/>
            <w:vAlign w:val="center"/>
          </w:tcPr>
          <w:p w14:paraId="284B861C" w14:textId="77777777" w:rsidR="0033298C" w:rsidRDefault="00000000">
            <w:pPr>
              <w:spacing w:after="0"/>
            </w:pPr>
            <w:r>
              <w:rPr>
                <w:sz w:val="12"/>
              </w:rPr>
              <w:t>Shriram Finance 3.47%; SBI 3.46%; ICICI Bank 3.42%; Swiggy 3.35%</w:t>
            </w:r>
          </w:p>
        </w:tc>
        <w:tc>
          <w:tcPr>
            <w:tcW w:w="1296" w:type="dxa"/>
            <w:vAlign w:val="center"/>
          </w:tcPr>
          <w:p w14:paraId="7464B8A9" w14:textId="77777777" w:rsidR="0033298C" w:rsidRDefault="00000000">
            <w:pPr>
              <w:spacing w:after="0"/>
            </w:pPr>
            <w:r>
              <w:rPr>
                <w:sz w:val="12"/>
              </w:rPr>
              <w:t>30 Sep 2026</w:t>
            </w:r>
          </w:p>
        </w:tc>
      </w:tr>
      <w:tr w:rsidR="0033298C" w14:paraId="0BB02CF6" w14:textId="77777777">
        <w:trPr>
          <w:cantSplit/>
          <w:jc w:val="center"/>
        </w:trPr>
        <w:tc>
          <w:tcPr>
            <w:tcW w:w="1296" w:type="dxa"/>
            <w:shd w:val="clear" w:color="auto" w:fill="F1F4F7"/>
            <w:vAlign w:val="center"/>
          </w:tcPr>
          <w:p w14:paraId="2C885E33" w14:textId="77777777" w:rsidR="0033298C" w:rsidRDefault="00000000">
            <w:pPr>
              <w:spacing w:after="0"/>
            </w:pPr>
            <w:r>
              <w:rPr>
                <w:sz w:val="12"/>
              </w:rPr>
              <w:t>Nippon</w:t>
            </w:r>
          </w:p>
        </w:tc>
        <w:tc>
          <w:tcPr>
            <w:tcW w:w="1296" w:type="dxa"/>
            <w:shd w:val="clear" w:color="auto" w:fill="F1F4F7"/>
            <w:vAlign w:val="center"/>
          </w:tcPr>
          <w:p w14:paraId="06929203" w14:textId="77777777" w:rsidR="0033298C" w:rsidRDefault="00000000">
            <w:pPr>
              <w:spacing w:after="0"/>
            </w:pPr>
            <w:r>
              <w:rPr>
                <w:sz w:val="12"/>
              </w:rPr>
              <w:t>56.8%</w:t>
            </w:r>
          </w:p>
        </w:tc>
        <w:tc>
          <w:tcPr>
            <w:tcW w:w="1296" w:type="dxa"/>
            <w:shd w:val="clear" w:color="auto" w:fill="F1F4F7"/>
            <w:vAlign w:val="center"/>
          </w:tcPr>
          <w:p w14:paraId="3FF83B81" w14:textId="77777777" w:rsidR="0033298C" w:rsidRDefault="00000000">
            <w:pPr>
              <w:spacing w:after="0"/>
            </w:pPr>
            <w:r>
              <w:rPr>
                <w:sz w:val="12"/>
              </w:rPr>
              <w:t>19.6%</w:t>
            </w:r>
          </w:p>
        </w:tc>
        <w:tc>
          <w:tcPr>
            <w:tcW w:w="1296" w:type="dxa"/>
            <w:shd w:val="clear" w:color="auto" w:fill="F1F4F7"/>
            <w:vAlign w:val="center"/>
          </w:tcPr>
          <w:p w14:paraId="310FA978" w14:textId="77777777" w:rsidR="0033298C" w:rsidRDefault="00000000">
            <w:pPr>
              <w:spacing w:after="0"/>
            </w:pPr>
            <w:r>
              <w:rPr>
                <w:sz w:val="12"/>
              </w:rPr>
              <w:t>21.8%</w:t>
            </w:r>
          </w:p>
        </w:tc>
        <w:tc>
          <w:tcPr>
            <w:tcW w:w="1296" w:type="dxa"/>
            <w:shd w:val="clear" w:color="auto" w:fill="F1F4F7"/>
            <w:vAlign w:val="center"/>
          </w:tcPr>
          <w:p w14:paraId="40E51FC2" w14:textId="77777777" w:rsidR="0033298C" w:rsidRDefault="00000000">
            <w:pPr>
              <w:spacing w:after="0"/>
            </w:pPr>
            <w:r>
              <w:rPr>
                <w:sz w:val="12"/>
              </w:rPr>
              <w:t>34.7%</w:t>
            </w:r>
          </w:p>
        </w:tc>
        <w:tc>
          <w:tcPr>
            <w:tcW w:w="1296" w:type="dxa"/>
            <w:shd w:val="clear" w:color="auto" w:fill="F1F4F7"/>
            <w:vAlign w:val="center"/>
          </w:tcPr>
          <w:p w14:paraId="3100340A" w14:textId="77777777" w:rsidR="0033298C" w:rsidRDefault="00000000">
            <w:pPr>
              <w:spacing w:after="0"/>
            </w:pPr>
            <w:r>
              <w:rPr>
                <w:sz w:val="12"/>
              </w:rPr>
              <w:t>Energy 11.8%</w:t>
            </w:r>
          </w:p>
        </w:tc>
        <w:tc>
          <w:tcPr>
            <w:tcW w:w="1296" w:type="dxa"/>
            <w:shd w:val="clear" w:color="auto" w:fill="F1F4F7"/>
            <w:vAlign w:val="center"/>
          </w:tcPr>
          <w:p w14:paraId="6FD91FF3" w14:textId="77777777" w:rsidR="0033298C" w:rsidRDefault="00000000">
            <w:pPr>
              <w:spacing w:after="0"/>
            </w:pPr>
            <w:r>
              <w:rPr>
                <w:sz w:val="12"/>
              </w:rPr>
              <w:t>HDFC Bank 7.52%; SBI 4.53%; NTPC 3.60%; ICICI Bank 3.40%</w:t>
            </w:r>
          </w:p>
        </w:tc>
        <w:tc>
          <w:tcPr>
            <w:tcW w:w="1296" w:type="dxa"/>
            <w:shd w:val="clear" w:color="auto" w:fill="F1F4F7"/>
            <w:vAlign w:val="center"/>
          </w:tcPr>
          <w:p w14:paraId="77AB8F95" w14:textId="77777777" w:rsidR="0033298C" w:rsidRDefault="00000000">
            <w:pPr>
              <w:spacing w:after="0"/>
            </w:pPr>
            <w:r>
              <w:rPr>
                <w:sz w:val="12"/>
              </w:rPr>
              <w:t>31 Aug 2026</w:t>
            </w:r>
          </w:p>
        </w:tc>
      </w:tr>
    </w:tbl>
    <w:p w14:paraId="00B98727" w14:textId="77777777" w:rsidR="0033298C" w:rsidRDefault="0033298C">
      <w:pPr>
        <w:spacing w:after="20"/>
      </w:pPr>
    </w:p>
    <w:p w14:paraId="688295F8" w14:textId="77777777" w:rsidR="0033298C" w:rsidRDefault="00000000">
      <w:r>
        <w:t>Portfolio read-through: ABSL has the highest reported small-cap exposure (32.1%); ICICI is distinctly large-cap-heavy (82.7%). Financials is the largest listed sector for all six funds in the snapshots, ranging from 21.8% to 34.7%. This raises an overlap question—particularly for investors holding several value funds alongside large-cap or banking-heavy funds. A full overlap percentage requires complete point-in-time holdings; the top-holding list above is not enough to calculate whole-portfolio overlap.</w:t>
      </w:r>
    </w:p>
    <w:p w14:paraId="74C02AC7" w14:textId="77777777" w:rsidR="0033298C" w:rsidRDefault="00000000">
      <w:r>
        <w:br w:type="page"/>
      </w:r>
    </w:p>
    <w:p w14:paraId="0B35F7E0" w14:textId="77777777" w:rsidR="0033298C" w:rsidRDefault="00000000">
      <w:pPr>
        <w:pStyle w:val="Heading1"/>
      </w:pPr>
      <w:r>
        <w:lastRenderedPageBreak/>
        <w:t>6. Cross-source reconciliation and decision framework</w:t>
      </w:r>
    </w:p>
    <w:p w14:paraId="30730F4A" w14:textId="77777777" w:rsidR="0033298C" w:rsidRDefault="00000000">
      <w:pPr>
        <w:pStyle w:val="Heading2"/>
      </w:pPr>
      <w:r>
        <w:t>What is consistent, and what is not</w:t>
      </w:r>
    </w:p>
    <w:tbl>
      <w:tblPr>
        <w:tblStyle w:val="TableGrid"/>
        <w:tblW w:w="0" w:type="auto"/>
        <w:jc w:val="center"/>
        <w:tblLook w:val="04A0" w:firstRow="1" w:lastRow="0" w:firstColumn="1" w:lastColumn="0" w:noHBand="0" w:noVBand="1"/>
      </w:tblPr>
      <w:tblGrid>
        <w:gridCol w:w="2592"/>
        <w:gridCol w:w="2592"/>
        <w:gridCol w:w="2592"/>
        <w:gridCol w:w="2592"/>
      </w:tblGrid>
      <w:tr w:rsidR="0033298C" w14:paraId="2E2CC08E" w14:textId="77777777">
        <w:trPr>
          <w:tblHeader/>
          <w:jc w:val="center"/>
        </w:trPr>
        <w:tc>
          <w:tcPr>
            <w:tcW w:w="2592" w:type="dxa"/>
            <w:shd w:val="clear" w:color="auto" w:fill="17324D"/>
            <w:vAlign w:val="center"/>
          </w:tcPr>
          <w:p w14:paraId="491E453A" w14:textId="77777777" w:rsidR="0033298C" w:rsidRDefault="00000000">
            <w:pPr>
              <w:spacing w:after="0"/>
            </w:pPr>
            <w:r>
              <w:rPr>
                <w:b/>
                <w:color w:val="FFFFFF"/>
                <w:sz w:val="13"/>
              </w:rPr>
              <w:t>Data item</w:t>
            </w:r>
          </w:p>
        </w:tc>
        <w:tc>
          <w:tcPr>
            <w:tcW w:w="2592" w:type="dxa"/>
            <w:shd w:val="clear" w:color="auto" w:fill="17324D"/>
            <w:vAlign w:val="center"/>
          </w:tcPr>
          <w:p w14:paraId="29529684" w14:textId="77777777" w:rsidR="0033298C" w:rsidRDefault="00000000">
            <w:pPr>
              <w:spacing w:after="0"/>
            </w:pPr>
            <w:r>
              <w:rPr>
                <w:b/>
                <w:color w:val="FFFFFF"/>
                <w:sz w:val="13"/>
              </w:rPr>
              <w:t>Primary source used here</w:t>
            </w:r>
          </w:p>
        </w:tc>
        <w:tc>
          <w:tcPr>
            <w:tcW w:w="2592" w:type="dxa"/>
            <w:shd w:val="clear" w:color="auto" w:fill="17324D"/>
            <w:vAlign w:val="center"/>
          </w:tcPr>
          <w:p w14:paraId="606514A0" w14:textId="77777777" w:rsidR="0033298C" w:rsidRDefault="00000000">
            <w:pPr>
              <w:spacing w:after="0"/>
            </w:pPr>
            <w:r>
              <w:rPr>
                <w:b/>
                <w:color w:val="FFFFFF"/>
                <w:sz w:val="13"/>
              </w:rPr>
              <w:t>Cross-check source(s)</w:t>
            </w:r>
          </w:p>
        </w:tc>
        <w:tc>
          <w:tcPr>
            <w:tcW w:w="2592" w:type="dxa"/>
            <w:shd w:val="clear" w:color="auto" w:fill="17324D"/>
            <w:vAlign w:val="center"/>
          </w:tcPr>
          <w:p w14:paraId="20D533B1" w14:textId="77777777" w:rsidR="0033298C" w:rsidRDefault="00000000">
            <w:pPr>
              <w:spacing w:after="0"/>
            </w:pPr>
            <w:r>
              <w:rPr>
                <w:b/>
                <w:color w:val="FFFFFF"/>
                <w:sz w:val="13"/>
              </w:rPr>
              <w:t>Treatment in this report</w:t>
            </w:r>
          </w:p>
        </w:tc>
      </w:tr>
      <w:tr w:rsidR="0033298C" w14:paraId="2F6BC884" w14:textId="77777777">
        <w:trPr>
          <w:cantSplit/>
          <w:jc w:val="center"/>
        </w:trPr>
        <w:tc>
          <w:tcPr>
            <w:tcW w:w="2592" w:type="dxa"/>
            <w:vAlign w:val="center"/>
          </w:tcPr>
          <w:p w14:paraId="05E3C45B" w14:textId="77777777" w:rsidR="0033298C" w:rsidRDefault="00000000">
            <w:pPr>
              <w:spacing w:after="0"/>
            </w:pPr>
            <w:r>
              <w:rPr>
                <w:sz w:val="13"/>
              </w:rPr>
              <w:t>Sharpe, Sortino, beta, standard deviation, alpha</w:t>
            </w:r>
          </w:p>
        </w:tc>
        <w:tc>
          <w:tcPr>
            <w:tcW w:w="2592" w:type="dxa"/>
            <w:vAlign w:val="center"/>
          </w:tcPr>
          <w:p w14:paraId="0DF09674" w14:textId="77777777" w:rsidR="0033298C" w:rsidRDefault="00000000">
            <w:pPr>
              <w:spacing w:after="0"/>
            </w:pPr>
            <w:r>
              <w:rPr>
                <w:sz w:val="13"/>
              </w:rPr>
              <w:t>MFIC/Integrato Regular Growth pages; 36 monthly periods; Rf=6.5%</w:t>
            </w:r>
          </w:p>
        </w:tc>
        <w:tc>
          <w:tcPr>
            <w:tcW w:w="2592" w:type="dxa"/>
            <w:vAlign w:val="center"/>
          </w:tcPr>
          <w:p w14:paraId="61C886E0" w14:textId="77777777" w:rsidR="0033298C" w:rsidRDefault="00000000">
            <w:pPr>
              <w:spacing w:after="0"/>
            </w:pPr>
            <w:r>
              <w:rPr>
                <w:sz w:val="13"/>
              </w:rPr>
              <w:t>ET Money and AMC factsheets also publish selected risk ratios</w:t>
            </w:r>
          </w:p>
        </w:tc>
        <w:tc>
          <w:tcPr>
            <w:tcW w:w="2592" w:type="dxa"/>
            <w:vAlign w:val="center"/>
          </w:tcPr>
          <w:p w14:paraId="64EB3C0E" w14:textId="77777777" w:rsidR="0033298C" w:rsidRDefault="00000000">
            <w:pPr>
              <w:spacing w:after="0"/>
            </w:pPr>
            <w:r>
              <w:rPr>
                <w:sz w:val="13"/>
              </w:rPr>
              <w:t>MFIC is the common comparison panel; other values are not averaged in.</w:t>
            </w:r>
          </w:p>
        </w:tc>
      </w:tr>
      <w:tr w:rsidR="0033298C" w14:paraId="09893671" w14:textId="77777777">
        <w:trPr>
          <w:cantSplit/>
          <w:jc w:val="center"/>
        </w:trPr>
        <w:tc>
          <w:tcPr>
            <w:tcW w:w="2592" w:type="dxa"/>
            <w:shd w:val="clear" w:color="auto" w:fill="F1F4F7"/>
            <w:vAlign w:val="center"/>
          </w:tcPr>
          <w:p w14:paraId="54F84B37" w14:textId="77777777" w:rsidR="0033298C" w:rsidRDefault="00000000">
            <w:pPr>
              <w:spacing w:after="0"/>
            </w:pPr>
            <w:r>
              <w:rPr>
                <w:sz w:val="13"/>
              </w:rPr>
              <w:t>Upside/downside capture</w:t>
            </w:r>
          </w:p>
        </w:tc>
        <w:tc>
          <w:tcPr>
            <w:tcW w:w="2592" w:type="dxa"/>
            <w:shd w:val="clear" w:color="auto" w:fill="F1F4F7"/>
            <w:vAlign w:val="center"/>
          </w:tcPr>
          <w:p w14:paraId="546A5FF6" w14:textId="77777777" w:rsidR="0033298C" w:rsidRDefault="00000000">
            <w:pPr>
              <w:spacing w:after="0"/>
            </w:pPr>
            <w:r>
              <w:rPr>
                <w:sz w:val="13"/>
              </w:rPr>
              <w:t>MFIC/Integrato pages; 36-month monthly windows</w:t>
            </w:r>
          </w:p>
        </w:tc>
        <w:tc>
          <w:tcPr>
            <w:tcW w:w="2592" w:type="dxa"/>
            <w:shd w:val="clear" w:color="auto" w:fill="F1F4F7"/>
            <w:vAlign w:val="center"/>
          </w:tcPr>
          <w:p w14:paraId="0FF03830" w14:textId="77777777" w:rsidR="0033298C" w:rsidRDefault="00000000">
            <w:pPr>
              <w:spacing w:after="0"/>
            </w:pPr>
            <w:r>
              <w:rPr>
                <w:sz w:val="13"/>
              </w:rPr>
              <w:t>HDFC AMC Weekend Bytes; Wealthticker; other third-party sources</w:t>
            </w:r>
          </w:p>
        </w:tc>
        <w:tc>
          <w:tcPr>
            <w:tcW w:w="2592" w:type="dxa"/>
            <w:shd w:val="clear" w:color="auto" w:fill="F1F4F7"/>
            <w:vAlign w:val="center"/>
          </w:tcPr>
          <w:p w14:paraId="0DA8386C" w14:textId="77777777" w:rsidR="0033298C" w:rsidRDefault="00000000">
            <w:pPr>
              <w:spacing w:after="0"/>
            </w:pPr>
            <w:r>
              <w:rPr>
                <w:sz w:val="13"/>
              </w:rPr>
              <w:t>MFIC used for all six; other sources can differ because benchmark and window differ.</w:t>
            </w:r>
          </w:p>
        </w:tc>
      </w:tr>
      <w:tr w:rsidR="0033298C" w14:paraId="7776F1C6" w14:textId="77777777">
        <w:trPr>
          <w:cantSplit/>
          <w:jc w:val="center"/>
        </w:trPr>
        <w:tc>
          <w:tcPr>
            <w:tcW w:w="2592" w:type="dxa"/>
            <w:vAlign w:val="center"/>
          </w:tcPr>
          <w:p w14:paraId="6FFA5128" w14:textId="77777777" w:rsidR="0033298C" w:rsidRDefault="00000000">
            <w:pPr>
              <w:spacing w:after="0"/>
            </w:pPr>
            <w:r>
              <w:rPr>
                <w:sz w:val="13"/>
              </w:rPr>
              <w:t>Trailing 1Y/3Y/5Y returns</w:t>
            </w:r>
          </w:p>
        </w:tc>
        <w:tc>
          <w:tcPr>
            <w:tcW w:w="2592" w:type="dxa"/>
            <w:vAlign w:val="center"/>
          </w:tcPr>
          <w:p w14:paraId="71087000" w14:textId="77777777" w:rsidR="0033298C" w:rsidRDefault="00000000">
            <w:pPr>
              <w:spacing w:after="0"/>
            </w:pPr>
            <w:r>
              <w:rPr>
                <w:sz w:val="13"/>
              </w:rPr>
              <w:t>MFIC/Integrato regular-growth page snapshot</w:t>
            </w:r>
          </w:p>
        </w:tc>
        <w:tc>
          <w:tcPr>
            <w:tcW w:w="2592" w:type="dxa"/>
            <w:vAlign w:val="center"/>
          </w:tcPr>
          <w:p w14:paraId="6BBDB598" w14:textId="77777777" w:rsidR="0033298C" w:rsidRDefault="00000000">
            <w:pPr>
              <w:spacing w:after="0"/>
            </w:pPr>
            <w:r>
              <w:rPr>
                <w:sz w:val="13"/>
              </w:rPr>
              <w:t>ET Money, Value Research, AMC pages and Groww fund pages</w:t>
            </w:r>
          </w:p>
        </w:tc>
        <w:tc>
          <w:tcPr>
            <w:tcW w:w="2592" w:type="dxa"/>
            <w:vAlign w:val="center"/>
          </w:tcPr>
          <w:p w14:paraId="67EC8353" w14:textId="77777777" w:rsidR="0033298C" w:rsidRDefault="00000000">
            <w:pPr>
              <w:spacing w:after="0"/>
            </w:pPr>
            <w:r>
              <w:rPr>
                <w:sz w:val="13"/>
              </w:rPr>
              <w:t>MFIC used for the main chart; differences of a few days and calculation windows are disclosed.</w:t>
            </w:r>
          </w:p>
        </w:tc>
      </w:tr>
      <w:tr w:rsidR="0033298C" w14:paraId="0E5BF39B" w14:textId="77777777">
        <w:trPr>
          <w:cantSplit/>
          <w:jc w:val="center"/>
        </w:trPr>
        <w:tc>
          <w:tcPr>
            <w:tcW w:w="2592" w:type="dxa"/>
            <w:shd w:val="clear" w:color="auto" w:fill="F1F4F7"/>
            <w:vAlign w:val="center"/>
          </w:tcPr>
          <w:p w14:paraId="292624FA" w14:textId="77777777" w:rsidR="0033298C" w:rsidRDefault="00000000">
            <w:pPr>
              <w:spacing w:after="0"/>
            </w:pPr>
            <w:r>
              <w:rPr>
                <w:sz w:val="13"/>
              </w:rPr>
              <w:t>Benchmark returns</w:t>
            </w:r>
          </w:p>
        </w:tc>
        <w:tc>
          <w:tcPr>
            <w:tcW w:w="2592" w:type="dxa"/>
            <w:shd w:val="clear" w:color="auto" w:fill="F1F4F7"/>
            <w:vAlign w:val="center"/>
          </w:tcPr>
          <w:p w14:paraId="376561F6" w14:textId="77777777" w:rsidR="0033298C" w:rsidRDefault="00000000">
            <w:pPr>
              <w:spacing w:after="0"/>
            </w:pPr>
            <w:r>
              <w:rPr>
                <w:sz w:val="13"/>
              </w:rPr>
              <w:t>AMC tier-1 benchmark is Nifty 500 TRI; MFIC has source-specific AMFI comparisons</w:t>
            </w:r>
          </w:p>
        </w:tc>
        <w:tc>
          <w:tcPr>
            <w:tcW w:w="2592" w:type="dxa"/>
            <w:shd w:val="clear" w:color="auto" w:fill="F1F4F7"/>
            <w:vAlign w:val="center"/>
          </w:tcPr>
          <w:p w14:paraId="476BFDB9" w14:textId="77777777" w:rsidR="0033298C" w:rsidRDefault="00000000">
            <w:pPr>
              <w:spacing w:after="0"/>
            </w:pPr>
            <w:r>
              <w:rPr>
                <w:sz w:val="13"/>
              </w:rPr>
              <w:t>ET Money / Value Research return panels; official AMC factsheets</w:t>
            </w:r>
          </w:p>
        </w:tc>
        <w:tc>
          <w:tcPr>
            <w:tcW w:w="2592" w:type="dxa"/>
            <w:shd w:val="clear" w:color="auto" w:fill="F1F4F7"/>
            <w:vAlign w:val="center"/>
          </w:tcPr>
          <w:p w14:paraId="14F17681" w14:textId="77777777" w:rsidR="0033298C" w:rsidRDefault="00000000">
            <w:pPr>
              <w:spacing w:after="0"/>
            </w:pPr>
            <w:r>
              <w:rPr>
                <w:sz w:val="13"/>
              </w:rPr>
              <w:t>Official TRI performance is shown where surfaced; pages did not reconcile perfectly to one common date.</w:t>
            </w:r>
          </w:p>
        </w:tc>
      </w:tr>
      <w:tr w:rsidR="0033298C" w14:paraId="36FB2DC5" w14:textId="77777777">
        <w:trPr>
          <w:cantSplit/>
          <w:jc w:val="center"/>
        </w:trPr>
        <w:tc>
          <w:tcPr>
            <w:tcW w:w="2592" w:type="dxa"/>
            <w:vAlign w:val="center"/>
          </w:tcPr>
          <w:p w14:paraId="789D3262" w14:textId="77777777" w:rsidR="0033298C" w:rsidRDefault="00000000">
            <w:pPr>
              <w:spacing w:after="0"/>
            </w:pPr>
            <w:r>
              <w:rPr>
                <w:sz w:val="13"/>
              </w:rPr>
              <w:t>Expense ratio / AUM</w:t>
            </w:r>
          </w:p>
        </w:tc>
        <w:tc>
          <w:tcPr>
            <w:tcW w:w="2592" w:type="dxa"/>
            <w:vAlign w:val="center"/>
          </w:tcPr>
          <w:p w14:paraId="41A2D8D4" w14:textId="77777777" w:rsidR="0033298C" w:rsidRDefault="00000000">
            <w:pPr>
              <w:spacing w:after="0"/>
            </w:pPr>
            <w:r>
              <w:rPr>
                <w:sz w:val="13"/>
              </w:rPr>
              <w:t>MFIC pages citing AMFI disclosures; DSP AUM from ET Money</w:t>
            </w:r>
          </w:p>
        </w:tc>
        <w:tc>
          <w:tcPr>
            <w:tcW w:w="2592" w:type="dxa"/>
            <w:vAlign w:val="center"/>
          </w:tcPr>
          <w:p w14:paraId="1F652757" w14:textId="77777777" w:rsidR="0033298C" w:rsidRDefault="00000000">
            <w:pPr>
              <w:spacing w:after="0"/>
            </w:pPr>
            <w:r>
              <w:rPr>
                <w:sz w:val="13"/>
              </w:rPr>
              <w:t>ET Money and Value Research pages</w:t>
            </w:r>
          </w:p>
        </w:tc>
        <w:tc>
          <w:tcPr>
            <w:tcW w:w="2592" w:type="dxa"/>
            <w:vAlign w:val="center"/>
          </w:tcPr>
          <w:p w14:paraId="06A304C8" w14:textId="77777777" w:rsidR="0033298C" w:rsidRDefault="00000000">
            <w:pPr>
              <w:spacing w:after="0"/>
            </w:pPr>
            <w:r>
              <w:rPr>
                <w:sz w:val="13"/>
              </w:rPr>
              <w:t>Latest visible date retained; source/date shown.</w:t>
            </w:r>
          </w:p>
        </w:tc>
      </w:tr>
      <w:tr w:rsidR="0033298C" w14:paraId="2146FD32" w14:textId="77777777">
        <w:trPr>
          <w:cantSplit/>
          <w:jc w:val="center"/>
        </w:trPr>
        <w:tc>
          <w:tcPr>
            <w:tcW w:w="2592" w:type="dxa"/>
            <w:shd w:val="clear" w:color="auto" w:fill="F1F4F7"/>
            <w:vAlign w:val="center"/>
          </w:tcPr>
          <w:p w14:paraId="5D17B27C" w14:textId="77777777" w:rsidR="0033298C" w:rsidRDefault="00000000">
            <w:pPr>
              <w:spacing w:after="0"/>
            </w:pPr>
            <w:r>
              <w:rPr>
                <w:sz w:val="13"/>
              </w:rPr>
              <w:t>Portfolio exposures / holdings</w:t>
            </w:r>
          </w:p>
        </w:tc>
        <w:tc>
          <w:tcPr>
            <w:tcW w:w="2592" w:type="dxa"/>
            <w:shd w:val="clear" w:color="auto" w:fill="F1F4F7"/>
            <w:vAlign w:val="center"/>
          </w:tcPr>
          <w:p w14:paraId="712729AB" w14:textId="77777777" w:rsidR="0033298C" w:rsidRDefault="00000000">
            <w:pPr>
              <w:spacing w:after="0"/>
            </w:pPr>
            <w:r>
              <w:rPr>
                <w:sz w:val="13"/>
              </w:rPr>
              <w:t>ET Money portfolio pages with dates shown</w:t>
            </w:r>
          </w:p>
        </w:tc>
        <w:tc>
          <w:tcPr>
            <w:tcW w:w="2592" w:type="dxa"/>
            <w:shd w:val="clear" w:color="auto" w:fill="F1F4F7"/>
            <w:vAlign w:val="center"/>
          </w:tcPr>
          <w:p w14:paraId="0676712C" w14:textId="77777777" w:rsidR="0033298C" w:rsidRDefault="00000000">
            <w:pPr>
              <w:spacing w:after="0"/>
            </w:pPr>
            <w:r>
              <w:rPr>
                <w:sz w:val="13"/>
              </w:rPr>
              <w:t>Value Research / Groww / AMC scheme disclosures</w:t>
            </w:r>
          </w:p>
        </w:tc>
        <w:tc>
          <w:tcPr>
            <w:tcW w:w="2592" w:type="dxa"/>
            <w:shd w:val="clear" w:color="auto" w:fill="F1F4F7"/>
            <w:vAlign w:val="center"/>
          </w:tcPr>
          <w:p w14:paraId="08E055C4" w14:textId="77777777" w:rsidR="0033298C" w:rsidRDefault="00000000">
            <w:pPr>
              <w:spacing w:after="0"/>
            </w:pPr>
            <w:r>
              <w:rPr>
                <w:sz w:val="13"/>
              </w:rPr>
              <w:t>Used as a structural snapshot, not as a promise of current holdings.</w:t>
            </w:r>
          </w:p>
        </w:tc>
      </w:tr>
    </w:tbl>
    <w:p w14:paraId="3B6C3B76" w14:textId="77777777" w:rsidR="0033298C" w:rsidRDefault="0033298C">
      <w:pPr>
        <w:spacing w:after="20"/>
      </w:pPr>
    </w:p>
    <w:p w14:paraId="4231DE9B" w14:textId="77777777" w:rsidR="0033298C" w:rsidRDefault="00000000">
      <w:pPr>
        <w:pStyle w:val="Heading2"/>
      </w:pPr>
      <w:r>
        <w:t>Extra metrics found outside the main common panel</w:t>
      </w:r>
    </w:p>
    <w:p w14:paraId="0E35B7C1" w14:textId="77777777" w:rsidR="0033298C" w:rsidRDefault="00000000">
      <w:r>
        <w:t>Wealthticker’s Nippon India Value Fund Regular page additionally displayed R² (95.7%), Treynor ratio (5.30), information ratio (0.93) and tracking error (3.39%), alongside alternative alpha/capture estimates. These are not shown in the main cross-fund ranking because equivalent, method-matched figures were not verified for all six schemes. The same source produced Nippon capture values of 109.7% / 97.1%, versus MFIC’s 107.66% / 100.50%, illustrating why one provider-method series should be used for the side-by-side chart.</w:t>
      </w:r>
    </w:p>
    <w:p w14:paraId="3DD7199E" w14:textId="77777777" w:rsidR="0033298C" w:rsidRDefault="00000000">
      <w:pPr>
        <w:pStyle w:val="Heading2"/>
      </w:pPr>
      <w:r>
        <w:t>Suggested screening process</w:t>
      </w:r>
    </w:p>
    <w:p w14:paraId="7FFE8634" w14:textId="77777777" w:rsidR="0033298C" w:rsidRDefault="00000000">
      <w:pPr>
        <w:pStyle w:val="ListBullet"/>
        <w:spacing w:after="40"/>
      </w:pPr>
      <w:r>
        <w:t>Use 3Y and 5Y rolling-return consistency first; avoid selecting from one-year returns alone.</w:t>
      </w:r>
    </w:p>
    <w:p w14:paraId="626F87DA" w14:textId="77777777" w:rsidR="0033298C" w:rsidRDefault="00000000">
      <w:pPr>
        <w:pStyle w:val="ListBullet"/>
        <w:spacing w:after="40"/>
      </w:pPr>
      <w:r>
        <w:t>Screen for positive alpha and a stable information ratio over several periods, calculated against the official Nifty 500 TRI.</w:t>
      </w:r>
    </w:p>
    <w:p w14:paraId="6BBBA5E9" w14:textId="77777777" w:rsidR="0033298C" w:rsidRDefault="00000000">
      <w:pPr>
        <w:pStyle w:val="ListBullet"/>
        <w:spacing w:after="40"/>
      </w:pPr>
      <w:r>
        <w:t>Consider Sortino, downside capture and five-year drawdown as a group when prioritising capital preservation.</w:t>
      </w:r>
    </w:p>
    <w:p w14:paraId="18D8D52E" w14:textId="77777777" w:rsidR="0033298C" w:rsidRDefault="00000000">
      <w:pPr>
        <w:pStyle w:val="ListBullet"/>
        <w:spacing w:after="40"/>
      </w:pPr>
      <w:r>
        <w:t>Balance upside capture with downside capture; a very defensive fund can lag during rallies, and a high-upside fund can still suffer outsized losses.</w:t>
      </w:r>
    </w:p>
    <w:p w14:paraId="5177112A" w14:textId="77777777" w:rsidR="0033298C" w:rsidRDefault="00000000">
      <w:pPr>
        <w:pStyle w:val="ListBullet"/>
        <w:spacing w:after="40"/>
      </w:pPr>
      <w:r>
        <w:t>Check expense ratio, turnover, market-cap/sector weights and holding overlap before combining funds.</w:t>
      </w:r>
    </w:p>
    <w:p w14:paraId="5FDA4EB9" w14:textId="77777777" w:rsidR="0033298C" w:rsidRDefault="00000000">
      <w:pPr>
        <w:pStyle w:val="ListBullet"/>
        <w:spacing w:after="40"/>
      </w:pPr>
      <w:r>
        <w:t>Confirm all figures from a common valuation date before publishing a formal client recommendation.</w:t>
      </w:r>
    </w:p>
    <w:p w14:paraId="550B0093" w14:textId="77777777" w:rsidR="0033298C" w:rsidRDefault="00000000">
      <w:pPr>
        <w:pStyle w:val="Heading2"/>
      </w:pPr>
      <w:r>
        <w:t>Key limitations</w:t>
      </w:r>
    </w:p>
    <w:p w14:paraId="2221DA6D" w14:textId="77777777" w:rsidR="0033298C" w:rsidRDefault="00000000">
      <w:r>
        <w:rPr>
          <w:i/>
          <w:color w:val="5F6973"/>
          <w:sz w:val="16"/>
        </w:rPr>
        <w:t>This is an internet-source synthesis, not a live-data API feed. Page snapshots can be refreshed at different times. All fund metrics here refer to Regular Plan – Growth, except where a source-specific supplemental item is explicitly labelled. Risk ratios are source-calculated rather than independently rebuilt from the raw daily NAV and official TRI series. No score or recommendation should override investor goals, horizon, risk tolerance, product suitability or the latest scheme documents.</w:t>
      </w:r>
    </w:p>
    <w:p w14:paraId="07C544F8" w14:textId="77777777" w:rsidR="0033298C" w:rsidRDefault="00000000">
      <w:r>
        <w:br w:type="page"/>
      </w:r>
    </w:p>
    <w:p w14:paraId="35F38881" w14:textId="77777777" w:rsidR="0033298C" w:rsidRDefault="00000000">
      <w:pPr>
        <w:pStyle w:val="Heading1"/>
      </w:pPr>
      <w:r>
        <w:lastRenderedPageBreak/>
        <w:t>7. Source register</w:t>
      </w:r>
    </w:p>
    <w:p w14:paraId="5AC88F5C" w14:textId="77777777" w:rsidR="0033298C" w:rsidRDefault="00000000">
      <w:r>
        <w:t>Primary source for the common risk / rolling-return / capture / drawdown set: MFIC (Integrato), which identifies the scheme as Regular Plan – Growth and specifies AMFI NAVs, 36 monthly observations and the benchmark-proxy treatment on each page.</w:t>
      </w:r>
    </w:p>
    <w:p w14:paraId="5B3095BC" w14:textId="77777777" w:rsidR="0033298C" w:rsidRDefault="00000000">
      <w:pPr>
        <w:pStyle w:val="Heading2"/>
      </w:pPr>
      <w:r>
        <w:t>MFIC / Integrato — primary standardised data</w:t>
      </w:r>
    </w:p>
    <w:p w14:paraId="71ED3AEA" w14:textId="77777777" w:rsidR="0033298C" w:rsidRDefault="00000000">
      <w:pPr>
        <w:pStyle w:val="ListBullet"/>
        <w:spacing w:after="20"/>
      </w:pPr>
      <w:r>
        <w:t xml:space="preserve">HDFC Value Fund — Regular Growth: </w:t>
      </w:r>
      <w:hyperlink r:id="rId16">
        <w:r>
          <w:rPr>
            <w:color w:val="007A87"/>
            <w:u w:val="single"/>
          </w:rPr>
          <w:t>open source</w:t>
        </w:r>
      </w:hyperlink>
    </w:p>
    <w:p w14:paraId="34FA193F" w14:textId="77777777" w:rsidR="0033298C" w:rsidRDefault="00000000">
      <w:pPr>
        <w:pStyle w:val="ListBullet"/>
        <w:spacing w:after="20"/>
      </w:pPr>
      <w:r>
        <w:t xml:space="preserve">ICICI Prudential Value Fund — Regular Growth: </w:t>
      </w:r>
      <w:hyperlink r:id="rId17">
        <w:r>
          <w:rPr>
            <w:color w:val="007A87"/>
            <w:u w:val="single"/>
          </w:rPr>
          <w:t>open source</w:t>
        </w:r>
      </w:hyperlink>
    </w:p>
    <w:p w14:paraId="79A751A3" w14:textId="77777777" w:rsidR="0033298C" w:rsidRDefault="00000000">
      <w:pPr>
        <w:pStyle w:val="ListBullet"/>
        <w:spacing w:after="20"/>
      </w:pPr>
      <w:r>
        <w:t xml:space="preserve">Axis Value Fund — Regular Growth: </w:t>
      </w:r>
      <w:hyperlink r:id="rId18">
        <w:r>
          <w:rPr>
            <w:color w:val="007A87"/>
            <w:u w:val="single"/>
          </w:rPr>
          <w:t>open source</w:t>
        </w:r>
      </w:hyperlink>
    </w:p>
    <w:p w14:paraId="22F3CC8F" w14:textId="77777777" w:rsidR="0033298C" w:rsidRDefault="00000000">
      <w:pPr>
        <w:pStyle w:val="ListBullet"/>
        <w:spacing w:after="20"/>
      </w:pPr>
      <w:r>
        <w:t xml:space="preserve">DSP Value Fund — Regular Growth: </w:t>
      </w:r>
      <w:hyperlink r:id="rId19">
        <w:r>
          <w:rPr>
            <w:color w:val="007A87"/>
            <w:u w:val="single"/>
          </w:rPr>
          <w:t>open source</w:t>
        </w:r>
      </w:hyperlink>
    </w:p>
    <w:p w14:paraId="7DFB449D" w14:textId="77777777" w:rsidR="0033298C" w:rsidRDefault="00000000">
      <w:pPr>
        <w:pStyle w:val="ListBullet"/>
        <w:spacing w:after="20"/>
      </w:pPr>
      <w:r>
        <w:t xml:space="preserve">Aditya Birla Sun Life Value Fund — Regular Growth: </w:t>
      </w:r>
      <w:hyperlink r:id="rId20">
        <w:r>
          <w:rPr>
            <w:color w:val="007A87"/>
            <w:u w:val="single"/>
          </w:rPr>
          <w:t>open source</w:t>
        </w:r>
      </w:hyperlink>
    </w:p>
    <w:p w14:paraId="2B8443DB" w14:textId="77777777" w:rsidR="0033298C" w:rsidRDefault="00000000">
      <w:pPr>
        <w:pStyle w:val="ListBullet"/>
        <w:spacing w:after="20"/>
      </w:pPr>
      <w:r>
        <w:t xml:space="preserve">Nippon India Value Fund — Regular Growth: </w:t>
      </w:r>
      <w:hyperlink r:id="rId21">
        <w:r>
          <w:rPr>
            <w:color w:val="007A87"/>
            <w:u w:val="single"/>
          </w:rPr>
          <w:t>open source</w:t>
        </w:r>
      </w:hyperlink>
    </w:p>
    <w:p w14:paraId="0C2BF61D" w14:textId="77777777" w:rsidR="0033298C" w:rsidRDefault="00000000">
      <w:pPr>
        <w:pStyle w:val="ListBullet"/>
        <w:spacing w:after="20"/>
      </w:pPr>
      <w:r>
        <w:t xml:space="preserve">Capture ratio method note: </w:t>
      </w:r>
      <w:hyperlink r:id="rId22">
        <w:r>
          <w:rPr>
            <w:color w:val="007A87"/>
            <w:u w:val="single"/>
          </w:rPr>
          <w:t>open source</w:t>
        </w:r>
      </w:hyperlink>
    </w:p>
    <w:p w14:paraId="0D8D69F0" w14:textId="77777777" w:rsidR="0033298C" w:rsidRDefault="00000000">
      <w:pPr>
        <w:pStyle w:val="Heading2"/>
      </w:pPr>
      <w:r>
        <w:t>ET Money — cross-check returns, TER, AUM, risk and portfolios</w:t>
      </w:r>
    </w:p>
    <w:p w14:paraId="0525E6E5" w14:textId="77777777" w:rsidR="0033298C" w:rsidRDefault="00000000">
      <w:pPr>
        <w:pStyle w:val="ListBullet"/>
        <w:spacing w:after="20"/>
      </w:pPr>
      <w:r>
        <w:t xml:space="preserve">HDFC Value Fund: </w:t>
      </w:r>
      <w:hyperlink r:id="rId23">
        <w:r>
          <w:rPr>
            <w:color w:val="007A87"/>
            <w:u w:val="single"/>
          </w:rPr>
          <w:t>open source</w:t>
        </w:r>
      </w:hyperlink>
    </w:p>
    <w:p w14:paraId="1A179657" w14:textId="77777777" w:rsidR="0033298C" w:rsidRDefault="00000000">
      <w:pPr>
        <w:pStyle w:val="ListBullet"/>
        <w:spacing w:after="20"/>
      </w:pPr>
      <w:r>
        <w:t xml:space="preserve">ICICI Prudential Value Fund: </w:t>
      </w:r>
      <w:hyperlink r:id="rId24">
        <w:r>
          <w:rPr>
            <w:color w:val="007A87"/>
            <w:u w:val="single"/>
          </w:rPr>
          <w:t>open source</w:t>
        </w:r>
      </w:hyperlink>
    </w:p>
    <w:p w14:paraId="15EF5575" w14:textId="77777777" w:rsidR="0033298C" w:rsidRDefault="00000000">
      <w:pPr>
        <w:pStyle w:val="ListBullet"/>
        <w:spacing w:after="20"/>
      </w:pPr>
      <w:r>
        <w:t xml:space="preserve">Axis Value Fund: </w:t>
      </w:r>
      <w:hyperlink r:id="rId25">
        <w:r>
          <w:rPr>
            <w:color w:val="007A87"/>
            <w:u w:val="single"/>
          </w:rPr>
          <w:t>open source</w:t>
        </w:r>
      </w:hyperlink>
    </w:p>
    <w:p w14:paraId="19AE38C8" w14:textId="77777777" w:rsidR="0033298C" w:rsidRDefault="00000000">
      <w:pPr>
        <w:pStyle w:val="ListBullet"/>
        <w:spacing w:after="20"/>
      </w:pPr>
      <w:r>
        <w:t xml:space="preserve">DSP Value Fund: </w:t>
      </w:r>
      <w:hyperlink r:id="rId26">
        <w:r>
          <w:rPr>
            <w:color w:val="007A87"/>
            <w:u w:val="single"/>
          </w:rPr>
          <w:t>open source</w:t>
        </w:r>
      </w:hyperlink>
    </w:p>
    <w:p w14:paraId="4BC50AE0" w14:textId="77777777" w:rsidR="0033298C" w:rsidRDefault="00000000">
      <w:pPr>
        <w:pStyle w:val="ListBullet"/>
        <w:spacing w:after="20"/>
      </w:pPr>
      <w:r>
        <w:t xml:space="preserve">Aditya Birla Sun Life Value Fund: </w:t>
      </w:r>
      <w:hyperlink r:id="rId27">
        <w:r>
          <w:rPr>
            <w:color w:val="007A87"/>
            <w:u w:val="single"/>
          </w:rPr>
          <w:t>open source</w:t>
        </w:r>
      </w:hyperlink>
    </w:p>
    <w:p w14:paraId="613F1262" w14:textId="77777777" w:rsidR="0033298C" w:rsidRDefault="00000000">
      <w:pPr>
        <w:pStyle w:val="ListBullet"/>
        <w:spacing w:after="20"/>
      </w:pPr>
      <w:r>
        <w:t xml:space="preserve">Nippon India Value Fund: </w:t>
      </w:r>
      <w:hyperlink r:id="rId28">
        <w:r>
          <w:rPr>
            <w:color w:val="007A87"/>
            <w:u w:val="single"/>
          </w:rPr>
          <w:t>open source</w:t>
        </w:r>
      </w:hyperlink>
    </w:p>
    <w:p w14:paraId="4BB11FBA" w14:textId="77777777" w:rsidR="0033298C" w:rsidRDefault="00000000">
      <w:pPr>
        <w:pStyle w:val="Heading2"/>
      </w:pPr>
      <w:r>
        <w:t>Value Research Online — ratings, grades, turnover and scheme context</w:t>
      </w:r>
    </w:p>
    <w:p w14:paraId="651B1283" w14:textId="77777777" w:rsidR="0033298C" w:rsidRDefault="00000000">
      <w:pPr>
        <w:pStyle w:val="ListBullet"/>
        <w:spacing w:after="20"/>
      </w:pPr>
      <w:r>
        <w:t xml:space="preserve">HDFC Value Fund: </w:t>
      </w:r>
      <w:hyperlink r:id="rId29">
        <w:r>
          <w:rPr>
            <w:color w:val="007A87"/>
            <w:u w:val="single"/>
          </w:rPr>
          <w:t>open source</w:t>
        </w:r>
      </w:hyperlink>
    </w:p>
    <w:p w14:paraId="5AA213AA" w14:textId="77777777" w:rsidR="0033298C" w:rsidRDefault="00000000">
      <w:pPr>
        <w:pStyle w:val="ListBullet"/>
        <w:spacing w:after="20"/>
      </w:pPr>
      <w:r>
        <w:t xml:space="preserve">ICICI Prudential Value Fund: </w:t>
      </w:r>
      <w:hyperlink r:id="rId30">
        <w:r>
          <w:rPr>
            <w:color w:val="007A87"/>
            <w:u w:val="single"/>
          </w:rPr>
          <w:t>open source</w:t>
        </w:r>
      </w:hyperlink>
    </w:p>
    <w:p w14:paraId="16D94610" w14:textId="77777777" w:rsidR="0033298C" w:rsidRDefault="00000000">
      <w:pPr>
        <w:pStyle w:val="ListBullet"/>
        <w:spacing w:after="20"/>
      </w:pPr>
      <w:r>
        <w:t xml:space="preserve">Axis Value Fund Regular Plan: </w:t>
      </w:r>
      <w:hyperlink r:id="rId31">
        <w:r>
          <w:rPr>
            <w:color w:val="007A87"/>
            <w:u w:val="single"/>
          </w:rPr>
          <w:t>open source</w:t>
        </w:r>
      </w:hyperlink>
    </w:p>
    <w:p w14:paraId="28619D78" w14:textId="77777777" w:rsidR="0033298C" w:rsidRDefault="00000000">
      <w:pPr>
        <w:pStyle w:val="ListBullet"/>
        <w:spacing w:after="20"/>
      </w:pPr>
      <w:r>
        <w:t xml:space="preserve">DSP Value Fund Regular Plan: </w:t>
      </w:r>
      <w:hyperlink r:id="rId32">
        <w:r>
          <w:rPr>
            <w:color w:val="007A87"/>
            <w:u w:val="single"/>
          </w:rPr>
          <w:t>open source</w:t>
        </w:r>
      </w:hyperlink>
    </w:p>
    <w:p w14:paraId="43E2CD46" w14:textId="77777777" w:rsidR="0033298C" w:rsidRDefault="00000000">
      <w:pPr>
        <w:pStyle w:val="ListBullet"/>
        <w:spacing w:after="20"/>
      </w:pPr>
      <w:r>
        <w:t xml:space="preserve">Aditya Birla Sun Life Value Fund Regular Plan: </w:t>
      </w:r>
      <w:hyperlink r:id="rId33">
        <w:r>
          <w:rPr>
            <w:color w:val="007A87"/>
            <w:u w:val="single"/>
          </w:rPr>
          <w:t>open source</w:t>
        </w:r>
      </w:hyperlink>
    </w:p>
    <w:p w14:paraId="6EE9D79C" w14:textId="77777777" w:rsidR="0033298C" w:rsidRDefault="00000000">
      <w:pPr>
        <w:pStyle w:val="ListBullet"/>
        <w:spacing w:after="20"/>
      </w:pPr>
      <w:r>
        <w:t xml:space="preserve">Nippon India Value Fund: </w:t>
      </w:r>
      <w:hyperlink r:id="rId34">
        <w:r>
          <w:rPr>
            <w:color w:val="007A87"/>
            <w:u w:val="single"/>
          </w:rPr>
          <w:t>open source</w:t>
        </w:r>
      </w:hyperlink>
    </w:p>
    <w:p w14:paraId="1C016C11" w14:textId="77777777" w:rsidR="0033298C" w:rsidRDefault="00000000">
      <w:pPr>
        <w:pStyle w:val="Heading2"/>
      </w:pPr>
      <w:r>
        <w:t>Groww and official AMC pages — scheme-level corroboration</w:t>
      </w:r>
    </w:p>
    <w:p w14:paraId="7D9B8D55" w14:textId="77777777" w:rsidR="0033298C" w:rsidRDefault="00000000">
      <w:pPr>
        <w:pStyle w:val="ListBullet"/>
        <w:spacing w:after="20"/>
      </w:pPr>
      <w:r>
        <w:t xml:space="preserve">Groww: Axis Value Fund Growth (Regular page surfaced): </w:t>
      </w:r>
      <w:hyperlink r:id="rId35">
        <w:r>
          <w:rPr>
            <w:color w:val="007A87"/>
            <w:u w:val="single"/>
          </w:rPr>
          <w:t>open source</w:t>
        </w:r>
      </w:hyperlink>
    </w:p>
    <w:p w14:paraId="5389E8D1" w14:textId="77777777" w:rsidR="0033298C" w:rsidRDefault="00000000">
      <w:pPr>
        <w:pStyle w:val="ListBullet"/>
        <w:spacing w:after="20"/>
      </w:pPr>
      <w:r>
        <w:t xml:space="preserve">Groww: DSP Value Fund Direct Growth (Direct page; excluded from Regular data): </w:t>
      </w:r>
      <w:hyperlink r:id="rId36">
        <w:r>
          <w:rPr>
            <w:color w:val="007A87"/>
            <w:u w:val="single"/>
          </w:rPr>
          <w:t>open source</w:t>
        </w:r>
      </w:hyperlink>
    </w:p>
    <w:p w14:paraId="6CB58C57" w14:textId="77777777" w:rsidR="0033298C" w:rsidRDefault="00000000">
      <w:pPr>
        <w:pStyle w:val="ListBullet"/>
        <w:spacing w:after="20"/>
      </w:pPr>
      <w:r>
        <w:t xml:space="preserve">Groww: Aditya Birla Sun Life Value Direct Growth (Direct page; excluded from Regular data): </w:t>
      </w:r>
      <w:hyperlink r:id="rId37">
        <w:r>
          <w:rPr>
            <w:color w:val="007A87"/>
            <w:u w:val="single"/>
          </w:rPr>
          <w:t>open source</w:t>
        </w:r>
      </w:hyperlink>
    </w:p>
    <w:p w14:paraId="0BD5CD76" w14:textId="77777777" w:rsidR="0033298C" w:rsidRDefault="00000000">
      <w:pPr>
        <w:pStyle w:val="ListBullet"/>
        <w:spacing w:after="20"/>
      </w:pPr>
      <w:r>
        <w:t xml:space="preserve">Groww: Nippon India Value Fund Direct Growth (Direct page; excluded from Regular data): </w:t>
      </w:r>
      <w:hyperlink r:id="rId38">
        <w:r>
          <w:rPr>
            <w:color w:val="007A87"/>
            <w:u w:val="single"/>
          </w:rPr>
          <w:t>open source</w:t>
        </w:r>
      </w:hyperlink>
    </w:p>
    <w:p w14:paraId="2437D20E" w14:textId="77777777" w:rsidR="0033298C" w:rsidRDefault="00000000">
      <w:pPr>
        <w:pStyle w:val="ListBullet"/>
        <w:spacing w:after="20"/>
      </w:pPr>
      <w:r>
        <w:t xml:space="preserve">Axis AMC: Regular scheme: </w:t>
      </w:r>
      <w:hyperlink r:id="rId39">
        <w:r>
          <w:rPr>
            <w:color w:val="007A87"/>
            <w:u w:val="single"/>
          </w:rPr>
          <w:t>open source</w:t>
        </w:r>
      </w:hyperlink>
    </w:p>
    <w:p w14:paraId="0C8220AE" w14:textId="77777777" w:rsidR="0033298C" w:rsidRDefault="00000000">
      <w:pPr>
        <w:pStyle w:val="ListBullet"/>
        <w:spacing w:after="20"/>
      </w:pPr>
      <w:r>
        <w:t xml:space="preserve">DSP AMC: Regular Growth scheme: </w:t>
      </w:r>
      <w:hyperlink r:id="rId40">
        <w:r>
          <w:rPr>
            <w:color w:val="007A87"/>
            <w:u w:val="single"/>
          </w:rPr>
          <w:t>open source</w:t>
        </w:r>
      </w:hyperlink>
    </w:p>
    <w:p w14:paraId="772C7286" w14:textId="77777777" w:rsidR="0033298C" w:rsidRDefault="00000000">
      <w:pPr>
        <w:pStyle w:val="ListBullet"/>
        <w:spacing w:after="20"/>
      </w:pPr>
      <w:r>
        <w:t xml:space="preserve">Nippon India AMC: official scheme page: </w:t>
      </w:r>
      <w:hyperlink r:id="rId41">
        <w:r>
          <w:rPr>
            <w:color w:val="007A87"/>
            <w:u w:val="single"/>
          </w:rPr>
          <w:t>open source</w:t>
        </w:r>
      </w:hyperlink>
    </w:p>
    <w:p w14:paraId="7F326B2C" w14:textId="77777777" w:rsidR="0033298C" w:rsidRDefault="00000000">
      <w:pPr>
        <w:pStyle w:val="Heading2"/>
      </w:pPr>
      <w:r>
        <w:t>Supplemental source for additional metrics</w:t>
      </w:r>
    </w:p>
    <w:p w14:paraId="4C4677C9" w14:textId="77777777" w:rsidR="0033298C" w:rsidRDefault="00000000">
      <w:pPr>
        <w:pStyle w:val="ListBullet"/>
        <w:spacing w:after="20"/>
      </w:pPr>
      <w:r>
        <w:t xml:space="preserve">Wealthticker: Nippon India Value Fund Regular (R², Treynor, information ratio, tracking error): </w:t>
      </w:r>
      <w:hyperlink r:id="rId42">
        <w:r>
          <w:rPr>
            <w:color w:val="007A87"/>
            <w:u w:val="single"/>
          </w:rPr>
          <w:t>open source</w:t>
        </w:r>
      </w:hyperlink>
    </w:p>
    <w:p w14:paraId="466E3D26" w14:textId="77777777" w:rsidR="0033298C" w:rsidRDefault="00000000">
      <w:pPr>
        <w:pStyle w:val="ListBullet"/>
        <w:spacing w:after="20"/>
      </w:pPr>
      <w:r>
        <w:t xml:space="preserve">HDFC AMC Weekend Bytes: capture ratios calculated through 27 Feb 2026: </w:t>
      </w:r>
      <w:hyperlink r:id="rId43">
        <w:r>
          <w:rPr>
            <w:color w:val="007A87"/>
            <w:u w:val="single"/>
          </w:rPr>
          <w:t>open source</w:t>
        </w:r>
      </w:hyperlink>
    </w:p>
    <w:p w14:paraId="0E2CC090" w14:textId="77777777" w:rsidR="0033298C" w:rsidRDefault="00000000">
      <w:r>
        <w:rPr>
          <w:i/>
          <w:color w:val="5F6973"/>
          <w:sz w:val="16"/>
        </w:rPr>
        <w:t>Source handling note: Groww’s indexed pages for several schemes surfaced Direct Growth values rather than Regular Growth values. Those direct-plan figures were not copied into the comparison; only the Axis Regular page is included as a surfaced Groww regular-plan reference. The primary comparison remains explicitly scoped to Regular Plan – Growth.</w:t>
      </w:r>
    </w:p>
    <w:sectPr w:rsidR="0033298C" w:rsidSect="00034616">
      <w:footerReference w:type="default" r:id="rId44"/>
      <w:pgSz w:w="12240" w:h="15840"/>
      <w:pgMar w:top="835" w:right="936" w:bottom="835"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E83EA" w14:textId="77777777" w:rsidR="00280CC2" w:rsidRDefault="00280CC2">
      <w:pPr>
        <w:spacing w:after="0" w:line="240" w:lineRule="auto"/>
      </w:pPr>
      <w:r>
        <w:separator/>
      </w:r>
    </w:p>
  </w:endnote>
  <w:endnote w:type="continuationSeparator" w:id="0">
    <w:p w14:paraId="083BBE5F" w14:textId="77777777" w:rsidR="00280CC2" w:rsidRDefault="00280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E8A4" w14:textId="77777777" w:rsidR="0033298C" w:rsidRDefault="00000000">
    <w:pPr>
      <w:pStyle w:val="Footer"/>
      <w:jc w:val="center"/>
    </w:pPr>
    <w:r>
      <w:rPr>
        <w:color w:val="64737D"/>
        <w:sz w:val="14"/>
      </w:rPr>
      <w:t xml:space="preserve">VALUE FUND COMPARATIVE </w:t>
    </w:r>
    <w:proofErr w:type="gramStart"/>
    <w:r>
      <w:rPr>
        <w:color w:val="64737D"/>
        <w:sz w:val="14"/>
      </w:rPr>
      <w:t>REVIEW  |</w:t>
    </w:r>
    <w:proofErr w:type="gramEnd"/>
    <w:r>
      <w:rPr>
        <w:color w:val="64737D"/>
        <w:sz w:val="14"/>
      </w:rPr>
      <w:t xml:space="preserve">  REGULAR PLAN – </w:t>
    </w:r>
    <w:proofErr w:type="gramStart"/>
    <w:r>
      <w:rPr>
        <w:color w:val="64737D"/>
        <w:sz w:val="14"/>
      </w:rPr>
      <w:t>GROWTH  |</w:t>
    </w:r>
    <w:proofErr w:type="gramEnd"/>
    <w:r>
      <w:rPr>
        <w:color w:val="64737D"/>
        <w:sz w:val="14"/>
      </w:rPr>
      <w:t xml:space="preserve">  11 OCT </w:t>
    </w:r>
    <w:proofErr w:type="gramStart"/>
    <w:r>
      <w:rPr>
        <w:color w:val="64737D"/>
        <w:sz w:val="14"/>
      </w:rPr>
      <w:t>2026  •</w:t>
    </w:r>
    <w:proofErr w:type="gramEnd"/>
    <w:r>
      <w:rPr>
        <w:color w:val="64737D"/>
        <w:sz w:val="14"/>
      </w:rPr>
      <w:t xml:space="preserve">  </w:t>
    </w:r>
    <w:r>
      <w:fldChar w:fldCharType="begin"/>
    </w:r>
    <w:r>
      <w:instrText>PAGE</w:instrText>
    </w:r>
    <w:r>
      <w:fldChar w:fldCharType="separate"/>
    </w:r>
    <w:r w:rsidR="003C13E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E2D44" w14:textId="77777777" w:rsidR="00280CC2" w:rsidRDefault="00280CC2">
      <w:pPr>
        <w:spacing w:after="0" w:line="240" w:lineRule="auto"/>
      </w:pPr>
      <w:r>
        <w:separator/>
      </w:r>
    </w:p>
  </w:footnote>
  <w:footnote w:type="continuationSeparator" w:id="0">
    <w:p w14:paraId="5ABC1C98" w14:textId="77777777" w:rsidR="00280CC2" w:rsidRDefault="00280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754631">
    <w:abstractNumId w:val="8"/>
  </w:num>
  <w:num w:numId="2" w16cid:durableId="667247728">
    <w:abstractNumId w:val="6"/>
  </w:num>
  <w:num w:numId="3" w16cid:durableId="1484856188">
    <w:abstractNumId w:val="5"/>
  </w:num>
  <w:num w:numId="4" w16cid:durableId="1411999485">
    <w:abstractNumId w:val="4"/>
  </w:num>
  <w:num w:numId="5" w16cid:durableId="631638022">
    <w:abstractNumId w:val="7"/>
  </w:num>
  <w:num w:numId="6" w16cid:durableId="1431194929">
    <w:abstractNumId w:val="3"/>
  </w:num>
  <w:num w:numId="7" w16cid:durableId="196237864">
    <w:abstractNumId w:val="2"/>
  </w:num>
  <w:num w:numId="8" w16cid:durableId="1166478512">
    <w:abstractNumId w:val="1"/>
  </w:num>
  <w:num w:numId="9" w16cid:durableId="1814444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0CC2"/>
    <w:rsid w:val="0029639D"/>
    <w:rsid w:val="00326F90"/>
    <w:rsid w:val="0033298C"/>
    <w:rsid w:val="003C13E7"/>
    <w:rsid w:val="00AA1D8D"/>
    <w:rsid w:val="00B47730"/>
    <w:rsid w:val="00CB0664"/>
    <w:rsid w:val="00E160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812449"/>
  <w14:defaultImageDpi w14:val="300"/>
  <w15:docId w15:val="{DD61ADA6-9BEA-4A8B-A5DC-A26710B76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color w:val="2B3742"/>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120"/>
      <w:outlineLvl w:val="2"/>
    </w:pPr>
    <w:rPr>
      <w:rFonts w:asciiTheme="majorHAnsi" w:eastAsiaTheme="majorEastAsia" w:hAnsiTheme="majorHAnsi" w:cstheme="majorBidi"/>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line="240" w:lineRule="auto"/>
      <w:contextualSpacing/>
    </w:pPr>
    <w:rPr>
      <w:rFonts w:asciiTheme="majorHAnsi" w:eastAsiaTheme="majorEastAsia" w:hAnsiTheme="majorHAnsi" w:cstheme="majorBidi"/>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integrato.in/mfic/scheme/axis-value-fund-149167" TargetMode="External"/><Relationship Id="rId26" Type="http://schemas.openxmlformats.org/officeDocument/2006/relationships/hyperlink" Target="https://www.etmoney.com/mutual-funds/dsp-value-fund/41660" TargetMode="External"/><Relationship Id="rId39" Type="http://schemas.openxmlformats.org/officeDocument/2006/relationships/hyperlink" Target="https://www.axismf.com/mutual-funds/equity-funds/axis-value-fund/vf-gp/regular" TargetMode="External"/><Relationship Id="rId3" Type="http://schemas.openxmlformats.org/officeDocument/2006/relationships/styles" Target="styles.xml"/><Relationship Id="rId21" Type="http://schemas.openxmlformats.org/officeDocument/2006/relationships/hyperlink" Target="https://integrato.in/mfic/scheme/nippon-india-value-fund-103085" TargetMode="External"/><Relationship Id="rId34" Type="http://schemas.openxmlformats.org/officeDocument/2006/relationships/hyperlink" Target="https://www.valueresearchonline.com/funds/2790/nippon-india-value-fund/" TargetMode="External"/><Relationship Id="rId42" Type="http://schemas.openxmlformats.org/officeDocument/2006/relationships/hyperlink" Target="https://wealthticker.in/fund/10308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ntegrato.in/mfic/scheme/icici-prudential-value-fund-erstwhile-value-discovery-fund-102594" TargetMode="External"/><Relationship Id="rId25" Type="http://schemas.openxmlformats.org/officeDocument/2006/relationships/hyperlink" Target="https://www.etmoney.com/mutual-funds/axis-value-fund/42162" TargetMode="External"/><Relationship Id="rId33" Type="http://schemas.openxmlformats.org/officeDocument/2006/relationships/hyperlink" Target="https://www.valueresearchonline.com/funds/6778/aditya-birla-sun-life-value-fund-regular-plan/" TargetMode="External"/><Relationship Id="rId38" Type="http://schemas.openxmlformats.org/officeDocument/2006/relationships/hyperlink" Target="https://groww.in/mutual-funds/nippon-india-value-fund-direct-growth"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integrato.in/mfic/scheme/hdfc-value-fund-101764" TargetMode="External"/><Relationship Id="rId20" Type="http://schemas.openxmlformats.org/officeDocument/2006/relationships/hyperlink" Target="https://integrato.in/mfic/scheme/aditya-birla-sun-life-value-fund-108167" TargetMode="External"/><Relationship Id="rId29" Type="http://schemas.openxmlformats.org/officeDocument/2006/relationships/hyperlink" Target="https://www.valueresearchonline.com/funds/218/hdfc-value-fund/" TargetMode="External"/><Relationship Id="rId41" Type="http://schemas.openxmlformats.org/officeDocument/2006/relationships/hyperlink" Target="https://mf.nipponindiaim.com/FundsAndPerformance/Pages/NipponIndia-Value-Fund.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tmoney.com/mutual-funds/icici-prudential-value-fund/2128" TargetMode="External"/><Relationship Id="rId32" Type="http://schemas.openxmlformats.org/officeDocument/2006/relationships/hyperlink" Target="https://www.valueresearchonline.com/funds/41192/dsp-value-fund-regular-plan/" TargetMode="External"/><Relationship Id="rId37" Type="http://schemas.openxmlformats.org/officeDocument/2006/relationships/hyperlink" Target="https://groww.in/mutual-funds/aditya-birla-sun-life-value-direct-fund-growth" TargetMode="External"/><Relationship Id="rId40" Type="http://schemas.openxmlformats.org/officeDocument/2006/relationships/hyperlink" Target="https://www.dspim.com/invest/mutual-fund-schemes/equity-funds/value-fund/dvalf-regular-growth"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etmoney.com/mutual-funds/hdfc-value-fund/31997" TargetMode="External"/><Relationship Id="rId28" Type="http://schemas.openxmlformats.org/officeDocument/2006/relationships/hyperlink" Target="https://www.etmoney.com/mutual-funds/nippon-india-value-fund/2604" TargetMode="External"/><Relationship Id="rId36" Type="http://schemas.openxmlformats.org/officeDocument/2006/relationships/hyperlink" Target="https://groww.in/mutual-funds/dsp-value-fund-direct-growth" TargetMode="External"/><Relationship Id="rId10" Type="http://schemas.openxmlformats.org/officeDocument/2006/relationships/image" Target="media/image3.png"/><Relationship Id="rId19" Type="http://schemas.openxmlformats.org/officeDocument/2006/relationships/hyperlink" Target="https://integrato.in/mfic/scheme/dsp-value-fund-148594" TargetMode="External"/><Relationship Id="rId31" Type="http://schemas.openxmlformats.org/officeDocument/2006/relationships/hyperlink" Target="https://www.valueresearchonline.com/funds/41694/axis-value-fund-regular-plan/"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ntegrato.in/mfic/learn/capture-ratios" TargetMode="External"/><Relationship Id="rId27" Type="http://schemas.openxmlformats.org/officeDocument/2006/relationships/hyperlink" Target="https://www.etmoney.com/mutual-funds/aditya-birla-sun-life-value-fund/6566" TargetMode="External"/><Relationship Id="rId30" Type="http://schemas.openxmlformats.org/officeDocument/2006/relationships/hyperlink" Target="https://www.valueresearchonline.com/funds/2310/icici-prudential-value-fund/" TargetMode="External"/><Relationship Id="rId35" Type="http://schemas.openxmlformats.org/officeDocument/2006/relationships/hyperlink" Target="https://groww.in/mutual-funds/axis-value-fund-regular-growth" TargetMode="External"/><Relationship Id="rId43" Type="http://schemas.openxmlformats.org/officeDocument/2006/relationships/hyperlink" Target="https://files.hdfcfund.com/s3fs-public/2026-03/When%20Patience%20Meets%20Potential%20%E2%80%93%20HDFC%20Value%20Fund%20-%20Weekend%20Bytes%20-%20March%202026%20%281%2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2767</Words>
  <Characters>15774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Pushkar Raj</cp:lastModifiedBy>
  <cp:revision>2</cp:revision>
  <dcterms:created xsi:type="dcterms:W3CDTF">2026-10-11T11:18:00Z</dcterms:created>
  <dcterms:modified xsi:type="dcterms:W3CDTF">2026-10-11T11:18:00Z</dcterms:modified>
  <cp:category/>
</cp:coreProperties>
</file>