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6.4.1 Institution has strategies for mobilization and optimal utilization of resources and funds from various sources (Government / Non-Government organizations) and it conducts financial audits regularly (internal and external)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4"/>
        <w:tblW w:w="793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4185"/>
        <w:gridCol w:w="29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Description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41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>Policy document on Financial Management and Resource Mobilization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"http://www.easacollege.com/assets/naac/criterion-6/6.4.1/index/6.4.1.1.pdf"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Consolidated Income and Expenditure statement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"http://www.easacollege.com/assets/naac/criterion-6/6.4.1/index/6.4.1.2.pdf"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Audited balance sheet </w:t>
            </w:r>
            <w:r>
              <w:rPr>
                <w:sz w:val="24"/>
                <w:szCs w:val="24"/>
                <w:rtl w:val="0"/>
              </w:rPr>
              <w:t>and Expenditure Statement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"http://www.easacollege.com/assets/naac/criterion-6/6.4.1/index/6.4.1.3.pdf"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External audit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"http://www.easacollege.com/assets/naac/criterion-6/6.4.1/index/6.4.1.4.pdf"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sz w:val="24"/>
                <w:szCs w:val="24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Internal audit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"http://www.easacollege.com/assets/naac/criterion-6/6.4.1/index/6.4.1.5.pdf"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spacing w:line="360" w:lineRule="auto"/>
        <w:rPr>
          <w:sz w:val="24"/>
          <w:szCs w:val="24"/>
        </w:rPr>
      </w:pPr>
      <w:bookmarkStart w:id="0" w:name="_heading=h.gjdgxs" w:colFirst="0" w:colLast="0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0921B9B"/>
    <w:rsid w:val="27D375BA"/>
    <w:rsid w:val="4A5962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qFormat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Y9CTyB5Ultg3AVfkdu4xonGA6A==">AMUW2mXqpsA4KTEVX6qfFuS/eEzGYoqgR60NGJkwuyIePAwXfC5pD3eIoExj7jQ4lb7FCFjX2nniUFnCaukZCls6nvfzQTMYPuLc1p2B/4tIJl9iVyCnTGGHez2CYDo0qlHD0oWA9dc2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2023-03-17T12:11:57Z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C4707CD00A2C48A2B73A1A630346E2F9</vt:lpwstr>
  </property>
</Properties>
</file>