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b w:val="0"/>
          <w:sz w:val="20"/>
        </w:rPr>
      </w:pPr>
    </w:p>
    <w:p>
      <w:pPr>
        <w:pStyle w:val="4"/>
        <w:jc w:val="center"/>
        <w:rPr>
          <w:b w:val="0"/>
          <w:sz w:val="20"/>
        </w:rPr>
      </w:pPr>
      <w:r>
        <w:rPr>
          <w:color w:val="000000"/>
          <w:sz w:val="22"/>
          <w:szCs w:val="22"/>
          <w:lang w:val="en-IN" w:eastAsia="en-IN" w:bidi="ta-IN"/>
        </w:rPr>
        <w:drawing>
          <wp:inline distT="0" distB="0" distL="0" distR="0">
            <wp:extent cx="5730240" cy="9220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30240" cy="922020"/>
                    </a:xfrm>
                    <a:prstGeom prst="rect">
                      <a:avLst/>
                    </a:prstGeom>
                    <a:noFill/>
                    <a:ln>
                      <a:noFill/>
                    </a:ln>
                  </pic:spPr>
                </pic:pic>
              </a:graphicData>
            </a:graphic>
          </wp:inline>
        </w:drawing>
      </w:r>
    </w:p>
    <w:p>
      <w:pPr>
        <w:pStyle w:val="4"/>
        <w:rPr>
          <w:b w:val="0"/>
          <w:sz w:val="20"/>
        </w:rPr>
      </w:pPr>
    </w:p>
    <w:p>
      <w:pPr>
        <w:pStyle w:val="4"/>
        <w:rPr>
          <w:b w:val="0"/>
          <w:sz w:val="20"/>
        </w:rPr>
      </w:pPr>
    </w:p>
    <w:p>
      <w:pPr>
        <w:pStyle w:val="4"/>
        <w:rPr>
          <w:rFonts w:ascii="Cambria"/>
          <w:sz w:val="18"/>
        </w:rPr>
      </w:pPr>
    </w:p>
    <w:p>
      <w:pPr>
        <w:pStyle w:val="4"/>
        <w:spacing w:before="11"/>
        <w:rPr>
          <w:rFonts w:ascii="Cambria"/>
          <w:sz w:val="19"/>
        </w:rPr>
      </w:pPr>
    </w:p>
    <w:p>
      <w:pPr>
        <w:pStyle w:val="4"/>
        <w:ind w:left="271" w:right="240"/>
        <w:jc w:val="both"/>
      </w:pPr>
      <w:r>
        <w:t>1.4.1 Institution obtains feedback on the academic performance and ambience of the institution from various stakeholders, such as Students, Teachers, Employers, Alumni etc. and action taken report on the feedback is made available on institutional website (Yes or No)</w:t>
      </w:r>
    </w:p>
    <w:p>
      <w:pPr>
        <w:pStyle w:val="4"/>
        <w:rPr>
          <w:sz w:val="20"/>
        </w:rPr>
      </w:pPr>
    </w:p>
    <w:p>
      <w:pPr>
        <w:pStyle w:val="4"/>
        <w:rPr>
          <w:sz w:val="20"/>
        </w:rPr>
      </w:pPr>
      <w:r>
        <w:rPr>
          <w:sz w:val="20"/>
          <w:lang w:val="en-IN" w:eastAsia="en-IN" w:bidi="ta-IN"/>
        </w:rPr>
        <mc:AlternateContent>
          <mc:Choice Requires="wps">
            <w:drawing>
              <wp:anchor distT="0" distB="0" distL="114300" distR="114300" simplePos="0" relativeHeight="251659264" behindDoc="0" locked="0" layoutInCell="1" allowOverlap="1">
                <wp:simplePos x="0" y="0"/>
                <wp:positionH relativeFrom="column">
                  <wp:posOffset>127000</wp:posOffset>
                </wp:positionH>
                <wp:positionV relativeFrom="paragraph">
                  <wp:posOffset>122555</wp:posOffset>
                </wp:positionV>
                <wp:extent cx="6280150" cy="967740"/>
                <wp:effectExtent l="0" t="0" r="25400" b="22860"/>
                <wp:wrapNone/>
                <wp:docPr id="2" name="Rectangle 2"/>
                <wp:cNvGraphicFramePr/>
                <a:graphic xmlns:a="http://schemas.openxmlformats.org/drawingml/2006/main">
                  <a:graphicData uri="http://schemas.microsoft.com/office/word/2010/wordprocessingShape">
                    <wps:wsp>
                      <wps:cNvSpPr/>
                      <wps:spPr>
                        <a:xfrm>
                          <a:off x="0" y="0"/>
                          <a:ext cx="6280150" cy="967740"/>
                        </a:xfrm>
                        <a:prstGeom prst="rect">
                          <a:avLst/>
                        </a:prstGeom>
                        <a:solidFill>
                          <a:srgbClr val="E9E41C"/>
                        </a:solidFill>
                      </wps:spPr>
                      <wps:style>
                        <a:lnRef idx="2">
                          <a:schemeClr val="accent1">
                            <a:shade val="50000"/>
                          </a:schemeClr>
                        </a:lnRef>
                        <a:fillRef idx="1">
                          <a:schemeClr val="accent1"/>
                        </a:fillRef>
                        <a:effectRef idx="0">
                          <a:schemeClr val="accent1"/>
                        </a:effectRef>
                        <a:fontRef idx="minor">
                          <a:schemeClr val="lt1"/>
                        </a:fontRef>
                      </wps:style>
                      <wps:txbx>
                        <w:txbxContent>
                          <w:p>
                            <w:pPr>
                              <w:ind w:left="105" w:right="109"/>
                              <w:jc w:val="center"/>
                              <w:rPr>
                                <w:b/>
                                <w:color w:val="31859C" w:themeColor="accent5" w:themeShade="BF"/>
                                <w:sz w:val="36"/>
                              </w:rPr>
                            </w:pPr>
                            <w:r>
                              <w:rPr>
                                <w:b/>
                                <w:color w:val="544488"/>
                                <w:sz w:val="36"/>
                              </w:rPr>
                              <w:t>The supporting documents for this metric exceed the upload</w:t>
                            </w:r>
                            <w:r>
                              <w:rPr>
                                <w:b/>
                                <w:color w:val="544488"/>
                                <w:spacing w:val="1"/>
                                <w:sz w:val="36"/>
                              </w:rPr>
                              <w:t xml:space="preserve"> </w:t>
                            </w:r>
                            <w:r>
                              <w:rPr>
                                <w:b/>
                                <w:color w:val="544488"/>
                                <w:sz w:val="36"/>
                              </w:rPr>
                              <w:t>limit of 5Mb. Hence the documents are made available in HEI</w:t>
                            </w:r>
                            <w:r>
                              <w:rPr>
                                <w:b/>
                                <w:color w:val="544488"/>
                                <w:spacing w:val="1"/>
                                <w:sz w:val="36"/>
                              </w:rPr>
                              <w:t xml:space="preserve"> </w:t>
                            </w:r>
                            <w:r>
                              <w:rPr>
                                <w:b/>
                                <w:color w:val="544488"/>
                                <w:sz w:val="36"/>
                              </w:rPr>
                              <w:t>website</w:t>
                            </w:r>
                            <w:r>
                              <w:rPr>
                                <w:b/>
                                <w:color w:val="544488"/>
                                <w:spacing w:val="-1"/>
                                <w:sz w:val="36"/>
                              </w:rPr>
                              <w:t xml:space="preserve"> </w:t>
                            </w:r>
                            <w:r>
                              <w:rPr>
                                <w:b/>
                                <w:color w:val="544488"/>
                                <w:sz w:val="36"/>
                              </w:rPr>
                              <w:t>and</w:t>
                            </w:r>
                            <w:r>
                              <w:rPr>
                                <w:b/>
                                <w:color w:val="544488"/>
                                <w:spacing w:val="-8"/>
                                <w:sz w:val="36"/>
                              </w:rPr>
                              <w:t xml:space="preserve"> </w:t>
                            </w:r>
                            <w:r>
                              <w:rPr>
                                <w:b/>
                                <w:color w:val="544488"/>
                                <w:sz w:val="36"/>
                              </w:rPr>
                              <w:t>links for</w:t>
                            </w:r>
                            <w:r>
                              <w:rPr>
                                <w:b/>
                                <w:color w:val="544488"/>
                                <w:spacing w:val="-1"/>
                                <w:sz w:val="36"/>
                              </w:rPr>
                              <w:t xml:space="preserve"> </w:t>
                            </w:r>
                            <w:r>
                              <w:rPr>
                                <w:b/>
                                <w:color w:val="544488"/>
                                <w:sz w:val="36"/>
                              </w:rPr>
                              <w:t>the</w:t>
                            </w:r>
                            <w:r>
                              <w:rPr>
                                <w:b/>
                                <w:color w:val="544488"/>
                                <w:spacing w:val="9"/>
                                <w:sz w:val="36"/>
                              </w:rPr>
                              <w:t xml:space="preserve"> </w:t>
                            </w:r>
                            <w:r>
                              <w:rPr>
                                <w:b/>
                                <w:color w:val="544488"/>
                                <w:sz w:val="36"/>
                              </w:rPr>
                              <w:t>metric</w:t>
                            </w:r>
                            <w:r>
                              <w:rPr>
                                <w:b/>
                                <w:color w:val="544488"/>
                                <w:spacing w:val="9"/>
                                <w:sz w:val="36"/>
                              </w:rPr>
                              <w:t xml:space="preserve"> </w:t>
                            </w:r>
                            <w:r>
                              <w:rPr>
                                <w:b/>
                                <w:color w:val="544488"/>
                                <w:sz w:val="36"/>
                              </w:rPr>
                              <w:t>is</w:t>
                            </w:r>
                            <w:r>
                              <w:rPr>
                                <w:b/>
                                <w:color w:val="544488"/>
                                <w:spacing w:val="-1"/>
                                <w:sz w:val="36"/>
                              </w:rPr>
                              <w:t xml:space="preserve"> </w:t>
                            </w:r>
                            <w:r>
                              <w:rPr>
                                <w:b/>
                                <w:color w:val="544488"/>
                                <w:sz w:val="36"/>
                              </w:rPr>
                              <w:t>given below.</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0pt;margin-top:9.65pt;height:76.2pt;width:494.5pt;z-index:251659264;v-text-anchor:middle;mso-width-relative:page;mso-height-relative:page;" fillcolor="#E9E41C" filled="t" stroked="t" coordsize="21600,21600" o:gfxdata="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w4593YAAAACgEAAA8AAAAAAAAAAQAgAAAAIgAAAGRycy9k&#10;b3ducmV2LnhtbFBLAQIUABQAAAAIAIdO4kAb2PTKdAIAAAwFAAAOAAAAAAAAAAEAIAAAACcBAABk&#10;cnMvZTJvRG9jLnhtbFBLBQYAAAAABgAGAFkBAAANBgAAAAA=&#10;">
                <v:fill on="t" focussize="0,0"/>
                <v:stroke weight="2pt" color="#385D8A [3204]" joinstyle="round"/>
                <v:imagedata o:title=""/>
                <o:lock v:ext="edit" aspectratio="f"/>
                <v:textbox>
                  <w:txbxContent>
                    <w:p>
                      <w:pPr>
                        <w:ind w:left="105" w:right="109"/>
                        <w:jc w:val="center"/>
                        <w:rPr>
                          <w:b/>
                          <w:color w:val="31859C" w:themeColor="accent5" w:themeShade="BF"/>
                          <w:sz w:val="36"/>
                        </w:rPr>
                      </w:pPr>
                      <w:r>
                        <w:rPr>
                          <w:b/>
                          <w:color w:val="544488"/>
                          <w:sz w:val="36"/>
                        </w:rPr>
                        <w:t>The supporting documents for this metric exceed the upload</w:t>
                      </w:r>
                      <w:r>
                        <w:rPr>
                          <w:b/>
                          <w:color w:val="544488"/>
                          <w:spacing w:val="1"/>
                          <w:sz w:val="36"/>
                        </w:rPr>
                        <w:t xml:space="preserve"> </w:t>
                      </w:r>
                      <w:r>
                        <w:rPr>
                          <w:b/>
                          <w:color w:val="544488"/>
                          <w:sz w:val="36"/>
                        </w:rPr>
                        <w:t>limit of 5Mb. Hence the documents are made available in HEI</w:t>
                      </w:r>
                      <w:r>
                        <w:rPr>
                          <w:b/>
                          <w:color w:val="544488"/>
                          <w:spacing w:val="1"/>
                          <w:sz w:val="36"/>
                        </w:rPr>
                        <w:t xml:space="preserve"> </w:t>
                      </w:r>
                      <w:r>
                        <w:rPr>
                          <w:b/>
                          <w:color w:val="544488"/>
                          <w:sz w:val="36"/>
                        </w:rPr>
                        <w:t>website</w:t>
                      </w:r>
                      <w:r>
                        <w:rPr>
                          <w:b/>
                          <w:color w:val="544488"/>
                          <w:spacing w:val="-1"/>
                          <w:sz w:val="36"/>
                        </w:rPr>
                        <w:t xml:space="preserve"> </w:t>
                      </w:r>
                      <w:r>
                        <w:rPr>
                          <w:b/>
                          <w:color w:val="544488"/>
                          <w:sz w:val="36"/>
                        </w:rPr>
                        <w:t>and</w:t>
                      </w:r>
                      <w:r>
                        <w:rPr>
                          <w:b/>
                          <w:color w:val="544488"/>
                          <w:spacing w:val="-8"/>
                          <w:sz w:val="36"/>
                        </w:rPr>
                        <w:t xml:space="preserve"> </w:t>
                      </w:r>
                      <w:r>
                        <w:rPr>
                          <w:b/>
                          <w:color w:val="544488"/>
                          <w:sz w:val="36"/>
                        </w:rPr>
                        <w:t>links for</w:t>
                      </w:r>
                      <w:r>
                        <w:rPr>
                          <w:b/>
                          <w:color w:val="544488"/>
                          <w:spacing w:val="-1"/>
                          <w:sz w:val="36"/>
                        </w:rPr>
                        <w:t xml:space="preserve"> </w:t>
                      </w:r>
                      <w:r>
                        <w:rPr>
                          <w:b/>
                          <w:color w:val="544488"/>
                          <w:sz w:val="36"/>
                        </w:rPr>
                        <w:t>the</w:t>
                      </w:r>
                      <w:r>
                        <w:rPr>
                          <w:b/>
                          <w:color w:val="544488"/>
                          <w:spacing w:val="9"/>
                          <w:sz w:val="36"/>
                        </w:rPr>
                        <w:t xml:space="preserve"> </w:t>
                      </w:r>
                      <w:r>
                        <w:rPr>
                          <w:b/>
                          <w:color w:val="544488"/>
                          <w:sz w:val="36"/>
                        </w:rPr>
                        <w:t>metric</w:t>
                      </w:r>
                      <w:r>
                        <w:rPr>
                          <w:b/>
                          <w:color w:val="544488"/>
                          <w:spacing w:val="9"/>
                          <w:sz w:val="36"/>
                        </w:rPr>
                        <w:t xml:space="preserve"> </w:t>
                      </w:r>
                      <w:r>
                        <w:rPr>
                          <w:b/>
                          <w:color w:val="544488"/>
                          <w:sz w:val="36"/>
                        </w:rPr>
                        <w:t>is</w:t>
                      </w:r>
                      <w:r>
                        <w:rPr>
                          <w:b/>
                          <w:color w:val="544488"/>
                          <w:spacing w:val="-1"/>
                          <w:sz w:val="36"/>
                        </w:rPr>
                        <w:t xml:space="preserve"> </w:t>
                      </w:r>
                      <w:r>
                        <w:rPr>
                          <w:b/>
                          <w:color w:val="544488"/>
                          <w:sz w:val="36"/>
                        </w:rPr>
                        <w:t>given below.</w:t>
                      </w:r>
                    </w:p>
                  </w:txbxContent>
                </v:textbox>
              </v:rect>
            </w:pict>
          </mc:Fallback>
        </mc:AlternateContent>
      </w:r>
    </w:p>
    <w:p>
      <w:pPr>
        <w:pStyle w:val="4"/>
        <w:rPr>
          <w:sz w:val="20"/>
        </w:rPr>
      </w:pPr>
    </w:p>
    <w:p>
      <w:pPr>
        <w:pStyle w:val="4"/>
        <w:spacing w:before="5"/>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7"/>
        <w:rPr>
          <w:sz w:val="13"/>
        </w:rPr>
      </w:pPr>
    </w:p>
    <w:tbl>
      <w:tblPr>
        <w:tblStyle w:val="3"/>
        <w:tblW w:w="0" w:type="auto"/>
        <w:tblInd w:w="1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3"/>
        <w:gridCol w:w="6987"/>
        <w:gridCol w:w="190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1143" w:type="dxa"/>
            <w:shd w:val="clear" w:color="auto" w:fill="528DD2"/>
            <w:vAlign w:val="center"/>
          </w:tcPr>
          <w:p>
            <w:pPr>
              <w:pStyle w:val="6"/>
              <w:ind w:right="79"/>
              <w:jc w:val="center"/>
              <w:rPr>
                <w:b/>
                <w:sz w:val="32"/>
              </w:rPr>
            </w:pPr>
            <w:r>
              <w:rPr>
                <w:b/>
                <w:sz w:val="32"/>
              </w:rPr>
              <w:t>Metric</w:t>
            </w:r>
          </w:p>
        </w:tc>
        <w:tc>
          <w:tcPr>
            <w:tcW w:w="6987" w:type="dxa"/>
            <w:shd w:val="clear" w:color="auto" w:fill="528DD2"/>
            <w:vAlign w:val="center"/>
          </w:tcPr>
          <w:p>
            <w:pPr>
              <w:pStyle w:val="6"/>
              <w:ind w:right="2740"/>
              <w:jc w:val="center"/>
              <w:rPr>
                <w:b/>
                <w:sz w:val="32"/>
              </w:rPr>
            </w:pPr>
            <w:r>
              <w:rPr>
                <w:b/>
                <w:sz w:val="32"/>
              </w:rPr>
              <w:t>Parameter</w:t>
            </w:r>
          </w:p>
        </w:tc>
        <w:tc>
          <w:tcPr>
            <w:tcW w:w="1906" w:type="dxa"/>
            <w:shd w:val="clear" w:color="auto" w:fill="528DD2"/>
            <w:vAlign w:val="center"/>
          </w:tcPr>
          <w:p>
            <w:pPr>
              <w:pStyle w:val="6"/>
              <w:spacing w:line="357" w:lineRule="exact"/>
              <w:jc w:val="center"/>
              <w:rPr>
                <w:b/>
                <w:sz w:val="32"/>
              </w:rPr>
            </w:pPr>
            <w:r>
              <w:rPr>
                <w:b/>
                <w:sz w:val="32"/>
              </w:rPr>
              <w:t>Link</w:t>
            </w:r>
            <w:r>
              <w:rPr>
                <w:b/>
                <w:spacing w:val="-18"/>
                <w:sz w:val="32"/>
              </w:rPr>
              <w:t xml:space="preserve"> </w:t>
            </w:r>
            <w:r>
              <w:rPr>
                <w:b/>
                <w:sz w:val="32"/>
              </w:rPr>
              <w:t>to Relevant</w:t>
            </w:r>
            <w:r>
              <w:rPr>
                <w:b/>
                <w:spacing w:val="1"/>
                <w:sz w:val="32"/>
              </w:rPr>
              <w:t xml:space="preserve"> </w:t>
            </w:r>
            <w:r>
              <w:rPr>
                <w:b/>
                <w:spacing w:val="-1"/>
                <w:sz w:val="32"/>
              </w:rPr>
              <w:t>Document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2" w:hRule="atLeast"/>
        </w:trPr>
        <w:tc>
          <w:tcPr>
            <w:tcW w:w="1143" w:type="dxa"/>
            <w:vAlign w:val="center"/>
          </w:tcPr>
          <w:p>
            <w:pPr>
              <w:pStyle w:val="6"/>
              <w:ind w:right="79"/>
              <w:jc w:val="center"/>
              <w:rPr>
                <w:b/>
                <w:sz w:val="32"/>
              </w:rPr>
            </w:pPr>
            <w:r>
              <w:rPr>
                <w:b/>
                <w:sz w:val="32"/>
              </w:rPr>
              <w:t>1.4.1</w:t>
            </w:r>
          </w:p>
        </w:tc>
        <w:tc>
          <w:tcPr>
            <w:tcW w:w="6987" w:type="dxa"/>
            <w:vAlign w:val="center"/>
          </w:tcPr>
          <w:p>
            <w:pPr>
              <w:pStyle w:val="6"/>
              <w:ind w:right="82"/>
              <w:jc w:val="both"/>
              <w:rPr>
                <w:sz w:val="32"/>
              </w:rPr>
            </w:pPr>
            <w:r>
              <w:rPr>
                <w:sz w:val="32"/>
              </w:rPr>
              <w:t>Institution obtains feedback on the academic performance and ambience of the institution from various stakeholders, such as Students, Teachers, Employers, Alumni etc. and action taken report on the feedback is made available on institutional website (Yes or No).</w:t>
            </w:r>
          </w:p>
        </w:tc>
        <w:tc>
          <w:tcPr>
            <w:tcW w:w="1906" w:type="dxa"/>
            <w:vAlign w:val="center"/>
          </w:tcPr>
          <w:p>
            <w:pPr>
              <w:pStyle w:val="6"/>
              <w:jc w:val="center"/>
              <w:rPr>
                <w:b/>
                <w:sz w:val="32"/>
              </w:rPr>
            </w:pPr>
            <w:bookmarkStart w:id="0" w:name="_GoBack"/>
            <w:r>
              <w:fldChar w:fldCharType="begin"/>
            </w:r>
            <w:r>
              <w:instrText xml:space="preserve"> HYPERLINK "https://www.easacollege.com/assets/naac/criterion-1/1.4.1/index.pdf" \h </w:instrText>
            </w:r>
            <w:r>
              <w:fldChar w:fldCharType="separate"/>
            </w:r>
            <w:r>
              <w:rPr>
                <w:b/>
                <w:color w:val="0000FF"/>
                <w:sz w:val="32"/>
                <w:u w:val="thick" w:color="0000FF"/>
              </w:rPr>
              <w:t>VIEW</w:t>
            </w:r>
            <w:r>
              <w:rPr>
                <w:b/>
                <w:color w:val="0000FF"/>
                <w:sz w:val="32"/>
                <w:u w:val="thick" w:color="0000FF"/>
              </w:rPr>
              <w:fldChar w:fldCharType="end"/>
            </w:r>
            <w:bookmarkEnd w:id="0"/>
          </w:p>
        </w:tc>
      </w:tr>
    </w:tbl>
    <w:p/>
    <w:p/>
    <w:p/>
    <w:sectPr>
      <w:type w:val="continuous"/>
      <w:pgSz w:w="11910" w:h="16840"/>
      <w:pgMar w:top="500" w:right="680" w:bottom="280" w:left="9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Latha">
    <w:altName w:val="Segoe UI Semilight"/>
    <w:panose1 w:val="02000400000000000000"/>
    <w:charset w:val="00"/>
    <w:family w:val="swiss"/>
    <w:pitch w:val="default"/>
    <w:sig w:usb0="00000000"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18F"/>
    <w:rsid w:val="00016C58"/>
    <w:rsid w:val="000B1A69"/>
    <w:rsid w:val="00126DDF"/>
    <w:rsid w:val="001F4E60"/>
    <w:rsid w:val="002F5385"/>
    <w:rsid w:val="0042118F"/>
    <w:rsid w:val="00627E70"/>
    <w:rsid w:val="00861FCA"/>
    <w:rsid w:val="00876F06"/>
    <w:rsid w:val="008A477D"/>
    <w:rsid w:val="00994178"/>
    <w:rsid w:val="00A2320A"/>
    <w:rsid w:val="00C11948"/>
    <w:rsid w:val="00DB5AC4"/>
    <w:rsid w:val="08353C22"/>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b/>
      <w:bCs/>
      <w:sz w:val="40"/>
      <w:szCs w:val="40"/>
    </w:rPr>
  </w:style>
  <w:style w:type="paragraph" w:styleId="5">
    <w:name w:val="List Paragraph"/>
    <w:basedOn w:val="1"/>
    <w:qFormat/>
    <w:uiPriority w:val="1"/>
  </w:style>
  <w:style w:type="paragraph" w:customStyle="1" w:styleId="6">
    <w:name w:val="Table Paragraph"/>
    <w:basedOn w:val="1"/>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85</Words>
  <Characters>500</Characters>
  <Lines>4</Lines>
  <Paragraphs>1</Paragraphs>
  <TotalTime>11</TotalTime>
  <ScaleCrop>false</ScaleCrop>
  <LinksUpToDate>false</LinksUpToDate>
  <CharactersWithSpaces>578</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2023-02-28T12:11:00Z</dcterms:created>
  <dc:creator>GRTOFFICE4</dc:creator>
  <cp:lastModifiedBy>kannan rajendran</cp:lastModifiedBy>
  <dcterms:modified xsi:type="dcterms:W3CDTF">2023-03-17T05:22:48Z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2023-01-23T00:00:00Z</vt:filetime>
  </property>
  <property fmtid="{D5CDD505-2E9C-101B-9397-08002B2CF9AE}" pid="3" name="Creator">
    <vt:lpwstr>Microsoft® Word 2016</vt:lpwstr>
  </property>
  <property fmtid="{D5CDD505-2E9C-101B-9397-08002B2CF9AE}" pid="4" name="LastSaved">
    <vt:filetime>2023-02-18T00:00:00Z</vt:filetime>
  </property>
  <property fmtid="{D5CDD505-2E9C-101B-9397-08002B2CF9AE}" pid="5" name="KSOProductBuildVer">
    <vt:lpwstr>1033-11.2.0.11486</vt:lpwstr>
  </property>
  <property fmtid="{D5CDD505-2E9C-101B-9397-08002B2CF9AE}" pid="6" name="ICV">
    <vt:lpwstr>A100D6E8D29A45FEA9851F2D4659961F</vt:lpwstr>
  </property>
</Properties>
</file>