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rPr>
          <w:b w:val="0"/>
          <w:sz w:val="20"/>
        </w:rPr>
      </w:pPr>
    </w:p>
    <w:p>
      <w:pPr>
        <w:pStyle w:val="5"/>
        <w:jc w:val="center"/>
        <w:rPr>
          <w:b w:val="0"/>
          <w:sz w:val="20"/>
        </w:rPr>
      </w:pPr>
      <w:r>
        <w:rPr>
          <w:color w:val="000000"/>
          <w:sz w:val="22"/>
          <w:szCs w:val="22"/>
          <w:lang w:bidi="ta-IN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b w:val="0"/>
          <w:sz w:val="20"/>
        </w:rPr>
      </w:pPr>
    </w:p>
    <w:p>
      <w:pPr>
        <w:pStyle w:val="5"/>
        <w:rPr>
          <w:b w:val="0"/>
          <w:sz w:val="20"/>
        </w:rPr>
      </w:pPr>
    </w:p>
    <w:p>
      <w:pPr>
        <w:pStyle w:val="5"/>
        <w:rPr>
          <w:rFonts w:ascii="Cambria"/>
          <w:sz w:val="18"/>
        </w:rPr>
      </w:pPr>
    </w:p>
    <w:p>
      <w:pPr>
        <w:pStyle w:val="5"/>
        <w:spacing w:before="11"/>
        <w:rPr>
          <w:rFonts w:ascii="Cambria"/>
          <w:sz w:val="19"/>
        </w:rPr>
      </w:pPr>
    </w:p>
    <w:p>
      <w:pPr>
        <w:pStyle w:val="5"/>
        <w:jc w:val="both"/>
      </w:pPr>
      <w:r>
        <w:t>2.3.1 Student centric methods, such as experiential learning, participative learning and problem solving methodologies are used for enhancing learning experiences using ICT tools.</w:t>
      </w:r>
    </w:p>
    <w:p>
      <w:pPr>
        <w:pStyle w:val="5"/>
        <w:jc w:val="both"/>
      </w:pPr>
    </w:p>
    <w:p>
      <w:pPr>
        <w:pStyle w:val="5"/>
        <w:jc w:val="both"/>
        <w:rPr>
          <w:sz w:val="20"/>
        </w:rPr>
      </w:pPr>
    </w:p>
    <w:p>
      <w:pPr>
        <w:pStyle w:val="5"/>
        <w:jc w:val="both"/>
        <w:rPr>
          <w:sz w:val="20"/>
        </w:rPr>
      </w:pPr>
      <w:r>
        <w:rPr>
          <w:sz w:val="20"/>
        </w:rPr>
        <w:pict>
          <v:rect id="Rectangle 2" o:spid="_x0000_s1026" o:spt="1" style="position:absolute;left:0pt;margin-left:-4.65pt;margin-top:9.55pt;height:76.2pt;width:457.95pt;z-index:251659264;v-text-anchor:middle;mso-width-relative:margin;mso-height-relative:margin;" fillcolor="#E9E41C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">
            <v:path/>
            <v:fill on="t" focussize="0,0"/>
            <v:stroke weight="2pt" color="#243F60"/>
            <v:imagedata o:title=""/>
            <o:lock v:ext="edit"/>
            <v:textbox>
              <w:txbxContent>
                <w:p>
                  <w:pPr>
                    <w:ind w:left="105" w:right="109"/>
                    <w:rPr>
                      <w:b/>
                      <w:color w:val="31849B" w:themeColor="accent5" w:themeShade="BF"/>
                      <w:sz w:val="36"/>
                    </w:rPr>
                  </w:pPr>
                  <w:r>
                    <w:rPr>
                      <w:b/>
                      <w:color w:val="544488"/>
                      <w:sz w:val="36"/>
                    </w:rPr>
                    <w:t>The supporting documents for this metric exceed the up load limit of 5Mb. Hence the documents are made available in HEI website and links forthemetricisgiven</w:t>
                  </w:r>
                  <w:r>
                    <w:rPr>
                      <w:b/>
                      <w:color w:val="31849B" w:themeColor="accent5" w:themeShade="BF"/>
                      <w:sz w:val="36"/>
                    </w:rPr>
                    <w:t>below.</w:t>
                  </w:r>
                </w:p>
                <w:p>
                  <w:pPr>
                    <w:jc w:val="center"/>
                    <w:rPr>
                      <w:color w:val="31849B" w:themeColor="accent5" w:themeShade="BF"/>
                    </w:rPr>
                  </w:pPr>
                </w:p>
              </w:txbxContent>
            </v:textbox>
          </v:rect>
        </w:pict>
      </w:r>
    </w:p>
    <w:p>
      <w:pPr>
        <w:pStyle w:val="5"/>
        <w:rPr>
          <w:sz w:val="20"/>
        </w:rPr>
      </w:pPr>
    </w:p>
    <w:p>
      <w:pPr>
        <w:pStyle w:val="5"/>
        <w:spacing w:before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before="7"/>
        <w:rPr>
          <w:sz w:val="13"/>
        </w:rPr>
      </w:pPr>
    </w:p>
    <w:tbl>
      <w:tblPr>
        <w:tblStyle w:val="3"/>
        <w:tblW w:w="9477" w:type="dxa"/>
        <w:tblInd w:w="-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5877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tcW w:w="1440" w:type="dxa"/>
            <w:shd w:val="clear" w:color="auto" w:fill="528DD2"/>
          </w:tcPr>
          <w:p>
            <w:pPr>
              <w:pStyle w:val="8"/>
              <w:spacing w:before="2"/>
              <w:rPr>
                <w:b/>
                <w:sz w:val="31"/>
              </w:rPr>
            </w:pPr>
          </w:p>
          <w:p>
            <w:pPr>
              <w:pStyle w:val="8"/>
              <w:ind w:left="90" w:righ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Metric</w:t>
            </w:r>
          </w:p>
        </w:tc>
        <w:tc>
          <w:tcPr>
            <w:tcW w:w="5877" w:type="dxa"/>
            <w:shd w:val="clear" w:color="auto" w:fill="528DD2"/>
          </w:tcPr>
          <w:p>
            <w:pPr>
              <w:pStyle w:val="8"/>
              <w:spacing w:before="2"/>
              <w:rPr>
                <w:b/>
                <w:sz w:val="31"/>
              </w:rPr>
            </w:pPr>
          </w:p>
          <w:p>
            <w:pPr>
              <w:pStyle w:val="8"/>
              <w:ind w:left="213" w:right="11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Parameter</w:t>
            </w:r>
          </w:p>
        </w:tc>
        <w:tc>
          <w:tcPr>
            <w:tcW w:w="2160" w:type="dxa"/>
            <w:shd w:val="clear" w:color="auto" w:fill="528DD2"/>
          </w:tcPr>
          <w:p>
            <w:pPr>
              <w:pStyle w:val="8"/>
              <w:spacing w:line="357" w:lineRule="exact"/>
              <w:ind w:left="349" w:firstLine="105"/>
              <w:rPr>
                <w:b/>
                <w:sz w:val="32"/>
              </w:rPr>
            </w:pPr>
            <w:r>
              <w:rPr>
                <w:b/>
                <w:sz w:val="32"/>
              </w:rPr>
              <w:t>Linkto</w:t>
            </w:r>
          </w:p>
          <w:p>
            <w:pPr>
              <w:pStyle w:val="8"/>
              <w:spacing w:line="370" w:lineRule="atLeast"/>
              <w:ind w:left="253" w:right="226" w:firstLine="96"/>
              <w:rPr>
                <w:b/>
                <w:sz w:val="32"/>
              </w:rPr>
            </w:pPr>
            <w:r>
              <w:rPr>
                <w:b/>
                <w:sz w:val="32"/>
              </w:rPr>
              <w:t>Relevant</w:t>
            </w:r>
          </w:p>
          <w:p>
            <w:pPr>
              <w:pStyle w:val="8"/>
              <w:spacing w:line="370" w:lineRule="atLeast"/>
              <w:ind w:left="253" w:right="226" w:firstLine="10"/>
              <w:rPr>
                <w:b/>
                <w:sz w:val="32"/>
              </w:rPr>
            </w:pPr>
            <w:r>
              <w:rPr>
                <w:b/>
                <w:spacing w:val="-1"/>
                <w:sz w:val="32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4" w:hRule="atLeast"/>
        </w:trPr>
        <w:tc>
          <w:tcPr>
            <w:tcW w:w="1440" w:type="dxa"/>
            <w:vAlign w:val="center"/>
          </w:tcPr>
          <w:p>
            <w:pPr>
              <w:pStyle w:val="8"/>
              <w:ind w:left="84" w:right="79"/>
              <w:rPr>
                <w:b/>
                <w:sz w:val="32"/>
              </w:rPr>
            </w:pPr>
            <w:r>
              <w:rPr>
                <w:b/>
                <w:sz w:val="36"/>
              </w:rPr>
              <w:t>2.3.1.a)</w:t>
            </w:r>
          </w:p>
        </w:tc>
        <w:tc>
          <w:tcPr>
            <w:tcW w:w="5877" w:type="dxa"/>
            <w:vAlign w:val="center"/>
          </w:tcPr>
          <w:p>
            <w:pPr>
              <w:pStyle w:val="8"/>
              <w:ind w:left="105" w:right="82"/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Student centric methods, such as experiential learning, participative learning and problem solving methodologies are used for enhancing learning experiences using ICT tools </w:t>
            </w:r>
            <w:r>
              <w:rPr>
                <w:sz w:val="36"/>
                <w:szCs w:val="36"/>
                <w:shd w:val="clear" w:color="auto" w:fill="FABF8F" w:themeFill="accent6" w:themeFillTint="99"/>
              </w:rPr>
              <w:t>(Description)</w:t>
            </w:r>
          </w:p>
        </w:tc>
        <w:tc>
          <w:tcPr>
            <w:tcW w:w="2160" w:type="dxa"/>
            <w:vAlign w:val="center"/>
          </w:tcPr>
          <w:p>
            <w:pPr>
              <w:pStyle w:val="8"/>
              <w:jc w:val="center"/>
              <w:rPr>
                <w:b/>
                <w:sz w:val="36"/>
                <w:szCs w:val="36"/>
              </w:rPr>
            </w:pPr>
            <w:r>
              <w:rPr>
                <w:color w:val="auto"/>
                <w:sz w:val="36"/>
                <w:szCs w:val="36"/>
                <w:u w:val="none"/>
              </w:rPr>
              <w:fldChar w:fldCharType="begin"/>
            </w:r>
            <w:r>
              <w:rPr>
                <w:color w:val="auto"/>
                <w:sz w:val="36"/>
                <w:szCs w:val="36"/>
                <w:u w:val="none"/>
              </w:rPr>
              <w:instrText xml:space="preserve"> HYPERLINK "http://www.easacollege.com/assets/naac/criterion-2/2.3.1/2.3.1a.pdf" </w:instrText>
            </w:r>
            <w:r>
              <w:rPr>
                <w:color w:val="auto"/>
                <w:sz w:val="36"/>
                <w:szCs w:val="36"/>
                <w:u w:val="none"/>
              </w:rPr>
              <w:fldChar w:fldCharType="separate"/>
            </w:r>
            <w:r>
              <w:rPr>
                <w:rStyle w:val="6"/>
                <w:sz w:val="36"/>
                <w:szCs w:val="36"/>
              </w:rPr>
              <w:t>VIEW FILE</w:t>
            </w:r>
            <w:r>
              <w:rPr>
                <w:color w:val="auto"/>
                <w:sz w:val="36"/>
                <w:szCs w:val="36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4" w:hRule="atLeast"/>
        </w:trPr>
        <w:tc>
          <w:tcPr>
            <w:tcW w:w="1440" w:type="dxa"/>
            <w:vAlign w:val="center"/>
          </w:tcPr>
          <w:p>
            <w:pPr>
              <w:pStyle w:val="8"/>
              <w:ind w:left="84" w:right="79"/>
              <w:jc w:val="right"/>
              <w:rPr>
                <w:b/>
                <w:sz w:val="36"/>
              </w:rPr>
            </w:pPr>
            <w:r>
              <w:rPr>
                <w:b/>
                <w:sz w:val="36"/>
              </w:rPr>
              <w:t>b)</w:t>
            </w:r>
          </w:p>
        </w:tc>
        <w:tc>
          <w:tcPr>
            <w:tcW w:w="5877" w:type="dxa"/>
            <w:vAlign w:val="center"/>
          </w:tcPr>
          <w:p>
            <w:pPr>
              <w:pStyle w:val="8"/>
              <w:ind w:left="105" w:right="82"/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Additional Information</w:t>
            </w:r>
          </w:p>
        </w:tc>
        <w:tc>
          <w:tcPr>
            <w:tcW w:w="2160" w:type="dxa"/>
            <w:vAlign w:val="center"/>
          </w:tcPr>
          <w:p>
            <w:pPr>
              <w:pStyle w:val="8"/>
              <w:jc w:val="center"/>
              <w:rPr>
                <w:sz w:val="36"/>
                <w:szCs w:val="36"/>
              </w:rPr>
            </w:pPr>
            <w:r>
              <w:rPr>
                <w:color w:val="auto"/>
                <w:sz w:val="36"/>
                <w:szCs w:val="36"/>
                <w:u w:val="none"/>
              </w:rPr>
              <w:fldChar w:fldCharType="begin"/>
            </w:r>
            <w:r>
              <w:rPr>
                <w:color w:val="auto"/>
                <w:sz w:val="36"/>
                <w:szCs w:val="36"/>
                <w:u w:val="none"/>
              </w:rPr>
              <w:instrText xml:space="preserve"> HYPERLINK "http://www.easacollege.com/assets/naac/criterion-2/2.3.1/2.3.1b.pdf" </w:instrText>
            </w:r>
            <w:r>
              <w:rPr>
                <w:color w:val="auto"/>
                <w:sz w:val="36"/>
                <w:szCs w:val="36"/>
                <w:u w:val="none"/>
              </w:rPr>
              <w:fldChar w:fldCharType="separate"/>
            </w:r>
            <w:r>
              <w:rPr>
                <w:rStyle w:val="6"/>
                <w:sz w:val="36"/>
                <w:szCs w:val="36"/>
              </w:rPr>
              <w:t>VIEW FILE</w:t>
            </w:r>
            <w:r>
              <w:rPr>
                <w:color w:val="auto"/>
                <w:sz w:val="36"/>
                <w:szCs w:val="36"/>
                <w:u w:val="none"/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type w:val="continuous"/>
      <w:pgSz w:w="11910" w:h="16840"/>
      <w:pgMar w:top="1440" w:right="1440" w:bottom="1440" w:left="1440" w:header="720" w:footer="72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42118F"/>
    <w:rsid w:val="000B1A69"/>
    <w:rsid w:val="001F4E60"/>
    <w:rsid w:val="00204A39"/>
    <w:rsid w:val="0042118F"/>
    <w:rsid w:val="00470A03"/>
    <w:rsid w:val="004D15A4"/>
    <w:rsid w:val="00627E70"/>
    <w:rsid w:val="00635072"/>
    <w:rsid w:val="006C7C4B"/>
    <w:rsid w:val="00994178"/>
    <w:rsid w:val="009D6922"/>
    <w:rsid w:val="00BB0FEC"/>
    <w:rsid w:val="00BC0E8C"/>
    <w:rsid w:val="016468BB"/>
    <w:rsid w:val="3A721BA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qFormat/>
    <w:uiPriority w:val="1"/>
    <w:rPr>
      <w:b/>
      <w:bCs/>
      <w:sz w:val="40"/>
      <w:szCs w:val="40"/>
    </w:rPr>
  </w:style>
  <w:style w:type="character" w:styleId="6">
    <w:name w:val="Hyperlink"/>
    <w:basedOn w:val="2"/>
    <w:semiHidden/>
    <w:unhideWhenUsed/>
    <w:uiPriority w:val="99"/>
    <w:rPr>
      <w:color w:val="0000FF"/>
      <w:u w:val="single"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  <w:style w:type="character" w:customStyle="1" w:styleId="9">
    <w:name w:val="Balloon Text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73</Words>
  <Characters>418</Characters>
  <Lines>3</Lines>
  <Paragraphs>1</Paragraphs>
  <TotalTime>11</TotalTime>
  <ScaleCrop>false</ScaleCrop>
  <LinksUpToDate>false</LinksUpToDate>
  <CharactersWithSpaces>490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2023-03-04T08:54:00Z</dcterms:created>
  <dc:creator>GRTOFFICE4</dc:creator>
  <cp:lastModifiedBy>Sathya Prakash</cp:lastModifiedBy>
  <dcterms:modified xsi:type="dcterms:W3CDTF">2023-03-17T07:52:18Z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D8B9C1AE938B4CF8A9721586C9F43678</vt:lpwstr>
  </property>
</Properties>
</file>