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sz w:val="20"/>
        </w:rPr>
      </w:pPr>
    </w:p>
    <w:p>
      <w:pPr>
        <w:pStyle w:val="5"/>
        <w:spacing w:before="11"/>
        <w:rPr>
          <w:rFonts w:ascii="Cambria"/>
          <w:sz w:val="19"/>
        </w:rPr>
      </w:pPr>
    </w:p>
    <w:p>
      <w:pPr>
        <w:pStyle w:val="5"/>
        <w:spacing w:before="11"/>
        <w:rPr>
          <w:rFonts w:ascii="Cambria"/>
          <w:sz w:val="19"/>
        </w:rPr>
      </w:pPr>
    </w:p>
    <w:p>
      <w:pPr>
        <w:pStyle w:val="5"/>
        <w:ind w:left="271" w:right="240"/>
        <w:jc w:val="both"/>
      </w:pPr>
      <w:r>
        <w:t>5.2.1 Percentage of placement of outgoing students and students progressing to higher education during the last five years.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  <w:r>
        <w:rPr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121285</wp:posOffset>
                </wp:positionV>
                <wp:extent cx="5981700" cy="9677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558ED5" w:themeColor="text2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558ED5" w:themeColor="text2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Note: The supporting document for this metric exceeds the upload limit of 5 Mb. Hence the documents are made available in HEI website and the links for the metric is given 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0.6pt;margin-top:9.55pt;height:76.2pt;width:471pt;z-index:251660288;v-text-anchor:middle;mso-width-relative:page;mso-height-relative:page;" fillcolor="#E9E41C" filled="t" stroked="t" coordsize="21600,21600" o:gfxdata="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rwaZi2QAAAAoBAAAPAAAAAAAAAAEAIAAAACIAAABkcnMv&#10;ZG93bnJldi54bWxQSwECFAAUAAAACACHTuJAJpQn9HQCAAAMBQAADgAAAAAAAAABACAAAAAoAQAA&#10;ZHJzL2Uyb0RvYy54bWxQSwUGAAAAAAYABgBZAQAADg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558ED5" w:themeColor="text2" w:themeTint="99"/>
                          <w:sz w:val="28"/>
                          <w:szCs w:val="28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558ED5" w:themeColor="text2" w:themeTint="99"/>
                          <w:sz w:val="28"/>
                          <w:szCs w:val="28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Note: The supporting document for this metric exceeds the upload limit of 5 Mb. Hence the documents are made available in HEI website and the links for the metric is given 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p>
      <w:pPr>
        <w:pStyle w:val="5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10"/>
              <w:spacing w:before="2"/>
              <w:rPr>
                <w:b/>
                <w:sz w:val="31"/>
              </w:rPr>
            </w:pPr>
          </w:p>
          <w:p>
            <w:pPr>
              <w:pStyle w:val="10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10"/>
              <w:spacing w:before="2"/>
              <w:rPr>
                <w:b/>
                <w:sz w:val="31"/>
              </w:rPr>
            </w:pPr>
          </w:p>
          <w:p>
            <w:pPr>
              <w:pStyle w:val="10"/>
              <w:ind w:left="2740" w:right="27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</w:tcPr>
          <w:p>
            <w:pPr>
              <w:pStyle w:val="10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</w:t>
            </w:r>
          </w:p>
          <w:p>
            <w:pPr>
              <w:pStyle w:val="10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143" w:type="dxa"/>
          </w:tcPr>
          <w:p>
            <w:pPr>
              <w:pStyle w:val="10"/>
              <w:spacing w:before="4"/>
              <w:rPr>
                <w:b/>
                <w:sz w:val="39"/>
              </w:rPr>
            </w:pPr>
          </w:p>
          <w:p>
            <w:pPr>
              <w:pStyle w:val="10"/>
              <w:ind w:left="84" w:right="79"/>
              <w:jc w:val="center"/>
              <w:rPr>
                <w:b/>
                <w:sz w:val="32"/>
              </w:rPr>
            </w:pPr>
            <w:r>
              <w:t xml:space="preserve">5.2.1 </w:t>
            </w:r>
          </w:p>
        </w:tc>
        <w:tc>
          <w:tcPr>
            <w:tcW w:w="6987" w:type="dxa"/>
          </w:tcPr>
          <w:p>
            <w:pPr>
              <w:pStyle w:val="10"/>
              <w:ind w:right="82"/>
              <w:jc w:val="both"/>
            </w:pPr>
          </w:p>
          <w:p>
            <w:pPr>
              <w:pStyle w:val="10"/>
              <w:ind w:left="105" w:right="82"/>
              <w:jc w:val="both"/>
              <w:rPr>
                <w:sz w:val="32"/>
              </w:rPr>
            </w:pPr>
            <w:r>
              <w:t>Details of percentage of placement of outgoing students and students progressing to higher education during the last five years</w:t>
            </w:r>
          </w:p>
        </w:tc>
        <w:tc>
          <w:tcPr>
            <w:tcW w:w="1906" w:type="dxa"/>
          </w:tcPr>
          <w:p>
            <w:pPr>
              <w:pStyle w:val="10"/>
              <w:spacing w:before="4"/>
              <w:rPr>
                <w:b/>
                <w:sz w:val="39"/>
              </w:rPr>
            </w:pPr>
          </w:p>
          <w:p>
            <w:pPr>
              <w:pStyle w:val="10"/>
              <w:ind w:left="5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"http://www.easacollege.com/assets/naac/criterion-5/5.2.1/PLACEMENT/PLACEMENT/5.2.1/index.pdf"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8"/>
                <w:b/>
                <w:sz w:val="24"/>
                <w:szCs w:val="24"/>
              </w:rPr>
              <w:t>VIEW FILE</w:t>
            </w:r>
            <w:r>
              <w:rPr>
                <w:b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/>
    <w:p/>
    <w:p/>
    <w:p/>
    <w:p/>
    <w:p/>
    <w:p/>
    <w:p/>
    <w:p/>
    <w:p/>
    <w:p/>
    <w:p/>
    <w:p/>
    <w:p/>
    <w:p/>
    <w:p/>
    <w:p/>
    <w:p/>
    <w:sectPr>
      <w:headerReference r:id="rId3" w:type="default"/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color w:val="000000"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476250</wp:posOffset>
          </wp:positionH>
          <wp:positionV relativeFrom="paragraph">
            <wp:posOffset>-333375</wp:posOffset>
          </wp:positionV>
          <wp:extent cx="5734050" cy="923925"/>
          <wp:effectExtent l="0" t="0" r="0" b="952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7"/>
    </w:pPr>
  </w:p>
  <w:p>
    <w:pPr>
      <w:pStyle w:val="7"/>
    </w:pPr>
  </w:p>
  <w:p>
    <w:pPr>
      <w:pStyle w:val="7"/>
    </w:pPr>
  </w:p>
  <w:p>
    <w:pPr>
      <w:pStyle w:val="7"/>
    </w:pPr>
  </w:p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42118F"/>
    <w:rsid w:val="00627E70"/>
    <w:rsid w:val="007C28B5"/>
    <w:rsid w:val="008C3E88"/>
    <w:rsid w:val="00994178"/>
    <w:rsid w:val="00B13243"/>
    <w:rsid w:val="00B24308"/>
    <w:rsid w:val="00E6166E"/>
    <w:rsid w:val="00F53286"/>
    <w:rsid w:val="00F7155B"/>
    <w:rsid w:val="09D4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b/>
      <w:bCs/>
      <w:sz w:val="40"/>
      <w:szCs w:val="40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character" w:styleId="8">
    <w:name w:val="Hyperlink"/>
    <w:basedOn w:val="2"/>
    <w:semiHidden/>
    <w:unhideWhenUsed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12">
    <w:name w:val="Header Char"/>
    <w:basedOn w:val="2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2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365</Characters>
  <Lines>3</Lines>
  <Paragraphs>1</Paragraphs>
  <TotalTime>2</TotalTime>
  <ScaleCrop>false</ScaleCrop>
  <LinksUpToDate>false</LinksUpToDate>
  <CharactersWithSpaces>428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2023-03-05T11:03:00Z</dcterms:created>
  <dc:creator>GRTOFFICE4</dc:creator>
  <cp:lastModifiedBy>Kambaa</cp:lastModifiedBy>
  <dcterms:modified xsi:type="dcterms:W3CDTF">2023-03-17T04:50:18Z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2CC2A96993C946EBBCB68805DF719D09</vt:lpwstr>
  </property>
</Properties>
</file>