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271" w:right="24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271" w:right="24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6.2.2 Implementation of e-governance in areas of operations</w:t>
      </w:r>
    </w:p>
    <w:p>
      <w:pP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 w:val="0"/>
        </w:rPr>
        <w:t>Institutional expenditure statements and bill</w:t>
      </w:r>
    </w:p>
    <w:p>
      <w:pPr>
        <w:spacing w:line="360" w:lineRule="auto"/>
        <w:jc w:val="center"/>
        <w:rPr>
          <w:b/>
          <w:color w:val="000000"/>
          <w:sz w:val="24"/>
          <w:szCs w:val="24"/>
        </w:rPr>
      </w:pPr>
    </w:p>
    <w:tbl>
      <w:tblPr>
        <w:tblStyle w:val="26"/>
        <w:tblW w:w="84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787"/>
        <w:gridCol w:w="37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Institutional expenditure statements 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6/6.2.2/6.2.2/6.2.2.1/6.2.2.1.1/Institutional Income and Expenditure Statement.pdf"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ERP Bills and invoice</w:t>
            </w:r>
          </w:p>
        </w:tc>
        <w:tc>
          <w:tcPr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6/6.2.2/6.2.2/6.2.2.1/6.2.2.1.2/ERP Bills.pdf"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</w:t>
            </w:r>
            <w:r>
              <w:rPr>
                <w:b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360" w:lineRule="auto"/>
        <w:jc w:val="center"/>
        <w:rPr>
          <w:b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DD13876"/>
    <w:rsid w:val="6D6270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4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/>
    </w:pPr>
    <w:rPr>
      <w:sz w:val="24"/>
      <w:szCs w:val="24"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8">
    <w:name w:val="Table Normal1"/>
    <w:qFormat/>
    <w:uiPriority w:val="0"/>
  </w:style>
  <w:style w:type="paragraph" w:styleId="19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0">
    <w:name w:val="List Paragraph"/>
    <w:basedOn w:val="1"/>
    <w:qFormat/>
    <w:uiPriority w:val="1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3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4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5">
    <w:name w:val="_Style 31"/>
    <w:basedOn w:val="18"/>
    <w:uiPriority w:val="0"/>
  </w:style>
  <w:style w:type="table" w:customStyle="1" w:styleId="26">
    <w:name w:val="_Style 34"/>
    <w:basedOn w:val="18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+aqlqPa+c0jEvi6EttxVRKMO/Cw==">AMUW2mXzcHtNWWcjHL5AtKljR+WG1gqOh0b/G+X8v/DBfwTu21OeiQBQDXXjFqvM/WZQ5KRvQN316rsDeNGjJlmnvHD6O8rJwcRIfeGIqVKbsZOKJplN71g9mwXbz38+ZHhBqTJ+afpp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B37C8A35B7A84335B8D5AF1AC882866D</vt:lpwstr>
  </property>
</Properties>
</file>