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color w:val="000000"/>
        </w:rPr>
        <w:drawing>
          <wp:inline distT="0" distB="0" distL="0" distR="0">
            <wp:extent cx="5730240" cy="92202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Key Indicator- 2.4. Teacher Profile and Quality</w:t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bookmarkStart w:id="0" w:name="_heading=h.gjdgxs" w:colFirst="0" w:colLast="0"/>
      <w:bookmarkEnd w:id="0"/>
    </w:p>
    <w:tbl>
      <w:tblPr>
        <w:tblStyle w:val="16"/>
        <w:tblW w:w="918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5877"/>
        <w:gridCol w:w="2070"/>
        <w:gridCol w:w="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gridSpan w:val="4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Metric No. 2.4.2. Percentage of full time teachers with NET/SET/SLET/ Ph. D. / D.M. / M.Ch. / D.N.B Super specialty / D.Sc. / D.Litt. during the last five years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S. No.</w:t>
            </w:r>
          </w:p>
        </w:tc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Description</w:t>
            </w:r>
          </w:p>
        </w:tc>
        <w:tc>
          <w:tcPr>
            <w:shd w:val="clear" w:color="auto" w:fill="FFC0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 Relevant 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list with Ph.D. certificate for the academic year 2021 - 2022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"https://www.easacollege.com/assets/naac/dvv-clarification/criterion-2/2.4.2/2.4.2.1.pdf"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list with Ph.D. certificate for the academic year 2020 - 2021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"https://www.easacollege.com/assets/naac/dvv-clarification/criterion-2/2.4.2/2.4.2.2.pdf"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list with Ph.D. certificate for the academic year 2019 - 2020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"https://www.easacollege.com/assets/naac/dvv-clarification/criterion-2/2.4.2/2.4.2.3.pdf"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list with Ph.D. certificate for the academic year 2018 - 2019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"https://www.easacollege.com/assets/naac/dvv-clarification/criterion-2/2.4.2/2.4.2.4.pdf"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list with Ph.D. certificate for the academic year 2017 - 2018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"https://www.easacollege.com/assets/naac/dvv-clarification/criterion-2/2.4.2/2.4.2.5.pdf"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1D1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  <w:style w:type="table" w:customStyle="1" w:styleId="16">
    <w:name w:val="_Style 15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DtKoaLUDsBF8/QxDXYGOUANOaw==">AMUW2mW8sffKGFGk3tA21jkIDINsB78exqbGb4jCOomqOmyvptNshx5sOJ/1T0Jn/kg1j7k10soaEB9UsIcDgNLx7nsc9yds/QT4u03b96fdvE/uW4SjxwsRik9rLlBBupRIXEwGFWrx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118</Words>
  <Characters>546</Characters>
  <TotalTime>2</TotalTime>
  <ScaleCrop>false</ScaleCrop>
  <LinksUpToDate>false</LinksUpToDate>
  <CharactersWithSpaces>645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2023-04-06T11:25:00Z</dcterms:created>
  <dc:creator>Home</dc:creator>
  <cp:lastModifiedBy>kannan rajendran</cp:lastModifiedBy>
  <dcterms:modified xsi:type="dcterms:W3CDTF">2023-04-08T05:14:54Z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337C2E3826C14BE2AE1B142A19C7EC60</vt:lpwstr>
  </property>
</Properties>
</file>