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Times New Roman" w:cs="Times New Roman"/>
          <w:b/>
          <w:sz w:val="24"/>
          <w:szCs w:val="24"/>
          <w:highlight w:val="yellow"/>
        </w:rPr>
      </w:pPr>
      <w:r>
        <w:rPr>
          <w:rFonts w:ascii="Times New Roman" w:hAnsi="Times New Roman" w:eastAsia="Times New Roman" w:cs="Times New Roman"/>
          <w:color w:val="000000"/>
          <w:sz w:val="24"/>
          <w:szCs w:val="24"/>
        </w:rPr>
        <w:drawing>
          <wp:inline distT="0" distB="0" distL="0" distR="0">
            <wp:extent cx="5731510" cy="781050"/>
            <wp:effectExtent l="0" t="0" r="0" b="0"/>
            <wp:docPr id="2" name="image1.jpg" descr="C:\Users\Sunilaa\Downloads\College Name with Logo final_page-0001.jpg"/>
            <wp:cNvGraphicFramePr/>
            <a:graphic xmlns:a="http://schemas.openxmlformats.org/drawingml/2006/main">
              <a:graphicData uri="http://schemas.openxmlformats.org/drawingml/2006/picture">
                <pic:pic xmlns:pic="http://schemas.openxmlformats.org/drawingml/2006/picture">
                  <pic:nvPicPr>
                    <pic:cNvPr id="2" name="image1.jpg" descr="C:\Users\Sunilaa\Downloads\College Name with Logo final_page-0001.jpg"/>
                    <pic:cNvPicPr preferRelativeResize="0"/>
                  </pic:nvPicPr>
                  <pic:blipFill>
                    <a:blip r:embed="rId6"/>
                    <a:srcRect/>
                    <a:stretch>
                      <a:fillRect/>
                    </a:stretch>
                  </pic:blipFill>
                  <pic:spPr>
                    <a:xfrm>
                      <a:off x="0" y="0"/>
                      <a:ext cx="5731510" cy="781171"/>
                    </a:xfrm>
                    <a:prstGeom prst="rect">
                      <a:avLst/>
                    </a:prstGeom>
                  </pic:spPr>
                </pic:pic>
              </a:graphicData>
            </a:graphic>
          </wp:inline>
        </w:drawing>
      </w:r>
    </w:p>
    <w:p>
      <w:pPr>
        <w:jc w:val="center"/>
        <w:rPr>
          <w:rFonts w:ascii="Times New Roman" w:hAnsi="Times New Roman" w:eastAsia="Times New Roman" w:cs="Times New Roman"/>
          <w:b/>
          <w:sz w:val="24"/>
          <w:szCs w:val="24"/>
          <w:highlight w:val="yellow"/>
        </w:rPr>
      </w:pPr>
      <w:r>
        <w:rPr>
          <w:rFonts w:ascii="Times New Roman" w:hAnsi="Times New Roman" w:eastAsia="Times New Roman" w:cs="Times New Roman"/>
          <w:b/>
          <w:sz w:val="24"/>
          <w:szCs w:val="24"/>
          <w:rtl w:val="0"/>
        </w:rPr>
        <w:t>Criterion 4 - Infrastructure and Learning Resources</w:t>
      </w:r>
    </w:p>
    <w:p>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Key Indicator – 4.4 Maintenance of Campus Infrastructure</w:t>
      </w:r>
    </w:p>
    <w:tbl>
      <w:tblPr>
        <w:tblStyle w:val="15"/>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13"/>
        <w:gridCol w:w="760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shd w:val="clear" w:color="auto" w:fill="FFFF00"/>
          </w:tcPr>
          <w:p>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Metric</w:t>
            </w:r>
          </w:p>
        </w:tc>
        <w:tc>
          <w:tcPr>
            <w:shd w:val="clear" w:color="auto" w:fill="FFFF00"/>
          </w:tcPr>
          <w:p>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Particulars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after="0" w:line="240" w:lineRule="auto"/>
              <w:jc w:val="center"/>
              <w:rPr>
                <w:rFonts w:ascii="Times New Roman" w:hAnsi="Times New Roman" w:eastAsia="Times New Roman" w:cs="Times New Roman"/>
                <w:sz w:val="24"/>
                <w:szCs w:val="24"/>
              </w:rPr>
            </w:pPr>
          </w:p>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4.4.1</w:t>
            </w:r>
          </w:p>
        </w:tc>
        <w:tc>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Percentage of expenditure incurred on maintenance of infrastructure (physical and academic support facilities) excluding salary component during the last five years (INR in Lakhs) </w:t>
            </w:r>
          </w:p>
          <w:p>
            <w:pPr>
              <w:spacing w:after="0" w:line="240" w:lineRule="auto"/>
              <w:jc w:val="both"/>
              <w:rPr>
                <w:rFonts w:ascii="Times New Roman" w:hAnsi="Times New Roman" w:eastAsia="Times New Roman" w:cs="Times New Roman"/>
                <w:sz w:val="24"/>
                <w:szCs w:val="24"/>
              </w:rPr>
            </w:pPr>
          </w:p>
        </w:tc>
      </w:tr>
    </w:tbl>
    <w:p>
      <w:pPr>
        <w:jc w:val="center"/>
        <w:rPr>
          <w:rFonts w:ascii="Times New Roman" w:hAnsi="Times New Roman" w:eastAsia="Times New Roman" w:cs="Times New Roman"/>
          <w:sz w:val="24"/>
          <w:szCs w:val="24"/>
        </w:rPr>
      </w:pPr>
    </w:p>
    <w:p>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HEI Input </w:t>
      </w:r>
      <w:r>
        <w:rPr>
          <w:rFonts w:ascii="Times New Roman" w:hAnsi="Times New Roman" w:eastAsia="Times New Roman" w:cs="Times New Roman"/>
          <w:sz w:val="24"/>
          <w:szCs w:val="24"/>
          <w:rtl w:val="0"/>
        </w:rPr>
        <w:t>(INR in Lakhs) :</w:t>
      </w: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3"/>
        <w:gridCol w:w="1803"/>
        <w:gridCol w:w="1803"/>
        <w:gridCol w:w="1803"/>
        <w:gridCol w:w="18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FFFF00"/>
          </w:tcPr>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2021-22</w:t>
            </w:r>
          </w:p>
        </w:tc>
        <w:tc>
          <w:tcPr>
            <w:shd w:val="clear" w:color="auto" w:fill="FFFF00"/>
          </w:tcPr>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2020-21</w:t>
            </w:r>
          </w:p>
        </w:tc>
        <w:tc>
          <w:tcPr>
            <w:shd w:val="clear" w:color="auto" w:fill="FFFF00"/>
          </w:tcPr>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2019-20</w:t>
            </w:r>
          </w:p>
        </w:tc>
        <w:tc>
          <w:tcPr>
            <w:shd w:val="clear" w:color="auto" w:fill="FFFF00"/>
          </w:tcPr>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2018-19</w:t>
            </w:r>
          </w:p>
        </w:tc>
        <w:tc>
          <w:tcPr>
            <w:shd w:val="clear" w:color="auto" w:fill="FFFF00"/>
          </w:tcPr>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2017-18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72.51</w:t>
            </w:r>
          </w:p>
        </w:tc>
        <w:tc>
          <w:p>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44.4</w:t>
            </w:r>
          </w:p>
        </w:tc>
        <w:tc>
          <w:p>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182.8</w:t>
            </w:r>
          </w:p>
        </w:tc>
        <w:tc>
          <w:p>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152.3</w:t>
            </w:r>
          </w:p>
        </w:tc>
        <w:tc>
          <w:p>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172.2</w:t>
            </w:r>
          </w:p>
        </w:tc>
      </w:tr>
    </w:tbl>
    <w:p>
      <w:pPr>
        <w:jc w:val="cente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tbl>
      <w:tblPr>
        <w:tblStyle w:val="17"/>
        <w:tblW w:w="90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97"/>
        <w:gridCol w:w="2963"/>
        <w:gridCol w:w="296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FFFF00"/>
          </w:tcPr>
          <w:p>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DVV Clarification</w:t>
            </w:r>
          </w:p>
        </w:tc>
        <w:tc>
          <w:tcPr>
            <w:shd w:val="clear" w:color="auto" w:fill="FFFF00"/>
          </w:tcPr>
          <w:p>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HEI Response</w:t>
            </w:r>
          </w:p>
        </w:tc>
        <w:tc>
          <w:tcPr>
            <w:shd w:val="clear" w:color="auto" w:fill="FFFF00"/>
          </w:tcPr>
          <w:p>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Link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HEI is requested to please provide audited income and expenditure statement highlighting the items of expenditure incurred on maintenance of physical facilities and academic support facilities duly certified by Head of the Institution and CA</w:t>
            </w:r>
          </w:p>
        </w:tc>
        <w:tc>
          <w:p>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 xml:space="preserve">Audited income and expenditure statement highlighting the items of expenditure incurred on maintenance of physical facilities and academic support facilities duly certified by Head of the Institution and CA is </w:t>
            </w:r>
            <w:r>
              <w:rPr>
                <w:rFonts w:ascii="Times New Roman" w:hAnsi="Times New Roman" w:eastAsia="Times New Roman" w:cs="Times New Roman"/>
                <w:b/>
                <w:sz w:val="24"/>
                <w:szCs w:val="24"/>
                <w:rtl w:val="0"/>
              </w:rPr>
              <w:t>provided.</w:t>
            </w:r>
          </w:p>
        </w:tc>
        <w:tc>
          <w:p>
            <w:pPr>
              <w:spacing w:after="0" w:line="240" w:lineRule="auto"/>
              <w:jc w:val="center"/>
              <w:rPr>
                <w:rFonts w:ascii="Times New Roman" w:hAnsi="Times New Roman" w:eastAsia="Times New Roman" w:cs="Times New Roman"/>
                <w:b/>
                <w:color w:val="00B0F0"/>
                <w:sz w:val="24"/>
                <w:szCs w:val="24"/>
              </w:rPr>
            </w:pPr>
          </w:p>
          <w:p>
            <w:pPr>
              <w:spacing w:after="0" w:line="240" w:lineRule="auto"/>
              <w:jc w:val="center"/>
              <w:rPr>
                <w:rFonts w:ascii="Times New Roman" w:hAnsi="Times New Roman" w:eastAsia="Times New Roman" w:cs="Times New Roman"/>
                <w:b/>
                <w:color w:val="00B0F0"/>
                <w:sz w:val="24"/>
                <w:szCs w:val="24"/>
                <w:u w:val="single"/>
              </w:rPr>
            </w:pPr>
          </w:p>
          <w:p>
            <w:pPr>
              <w:spacing w:after="0" w:line="240" w:lineRule="auto"/>
              <w:jc w:val="center"/>
              <w:rPr>
                <w:rFonts w:ascii="Times New Roman" w:hAnsi="Times New Roman" w:eastAsia="Times New Roman" w:cs="Times New Roman"/>
                <w:b/>
                <w:color w:val="00B0F0"/>
                <w:sz w:val="24"/>
                <w:szCs w:val="24"/>
                <w:u w:val="single"/>
              </w:rPr>
            </w:pPr>
          </w:p>
          <w:p>
            <w:pPr>
              <w:spacing w:after="0" w:line="240" w:lineRule="auto"/>
              <w:jc w:val="center"/>
              <w:rPr>
                <w:rFonts w:ascii="Times New Roman" w:hAnsi="Times New Roman" w:eastAsia="Times New Roman" w:cs="Times New Roman"/>
                <w:b/>
                <w:color w:val="00B0F0"/>
                <w:sz w:val="24"/>
                <w:szCs w:val="24"/>
                <w:u w:val="single"/>
              </w:rPr>
            </w:pPr>
          </w:p>
          <w:p>
            <w:pPr>
              <w:spacing w:after="0" w:line="240" w:lineRule="auto"/>
              <w:jc w:val="center"/>
              <w:rPr>
                <w:rFonts w:ascii="Times New Roman" w:hAnsi="Times New Roman" w:eastAsia="Times New Roman" w:cs="Times New Roman"/>
                <w:b/>
                <w:color w:val="0000FF"/>
                <w:sz w:val="24"/>
                <w:szCs w:val="24"/>
                <w:u w:val="single"/>
              </w:rPr>
            </w:pPr>
            <w:r>
              <w:rPr>
                <w:rFonts w:ascii="Times New Roman" w:hAnsi="Times New Roman" w:eastAsia="Times New Roman" w:cs="Times New Roman"/>
                <w:b/>
                <w:color w:val="0000FF"/>
                <w:sz w:val="24"/>
                <w:szCs w:val="24"/>
                <w:u w:val="single"/>
              </w:rPr>
              <w:fldChar w:fldCharType="begin"/>
            </w:r>
            <w:r>
              <w:instrText xml:space="preserve"> HYPERLINK "https://www.easacollege.com/assets/naac/dvv-clarification/criterion-4/4.4.1/index.pdf" </w:instrText>
            </w:r>
            <w:r>
              <w:rPr>
                <w:rFonts w:ascii="Times New Roman" w:hAnsi="Times New Roman" w:eastAsia="Times New Roman" w:cs="Times New Roman"/>
                <w:b/>
                <w:color w:val="0000FF"/>
                <w:sz w:val="24"/>
                <w:szCs w:val="24"/>
                <w:u w:val="single"/>
              </w:rPr>
              <w:fldChar w:fldCharType="separate"/>
            </w:r>
            <w:r>
              <w:rPr>
                <w:rStyle w:val="10"/>
                <w:rFonts w:ascii="Times New Roman" w:hAnsi="Times New Roman" w:eastAsia="Times New Roman" w:cs="Times New Roman"/>
                <w:b/>
                <w:color w:val="0000FF"/>
                <w:sz w:val="24"/>
                <w:szCs w:val="24"/>
                <w:rtl w:val="0"/>
              </w:rPr>
              <w:t>VIEW</w:t>
            </w:r>
            <w:r>
              <w:rPr>
                <w:rFonts w:ascii="Times New Roman" w:hAnsi="Times New Roman" w:eastAsia="Times New Roman" w:cs="Times New Roman"/>
                <w:b/>
                <w:color w:val="0000FF"/>
                <w:sz w:val="24"/>
                <w:szCs w:val="24"/>
                <w:u w:val="single"/>
              </w:rPr>
              <w:fldChar w:fldCharType="end"/>
            </w:r>
          </w:p>
          <w:p>
            <w:pPr>
              <w:spacing w:after="0" w:line="240" w:lineRule="auto"/>
              <w:rPr>
                <w:rFonts w:ascii="Times New Roman" w:hAnsi="Times New Roman" w:eastAsia="Times New Roman" w:cs="Times New Roman"/>
                <w:sz w:val="24"/>
                <w:szCs w:val="24"/>
              </w:rPr>
            </w:pPr>
            <w:bookmarkStart w:id="0" w:name="_GoBack"/>
            <w:bookmarkEnd w:id="0"/>
          </w:p>
        </w:tc>
      </w:tr>
    </w:tbl>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jc w:val="center"/>
        <w:rPr>
          <w:rFonts w:ascii="Times New Roman" w:hAnsi="Times New Roman" w:eastAsia="Times New Roman" w:cs="Times New Roman"/>
          <w:sz w:val="24"/>
          <w:szCs w:val="24"/>
        </w:rPr>
      </w:pPr>
    </w:p>
    <w:p>
      <w:pPr>
        <w:jc w:val="center"/>
        <w:rPr>
          <w:rFonts w:ascii="Times New Roman" w:hAnsi="Times New Roman" w:eastAsia="Times New Roman" w:cs="Times New Roman"/>
          <w:sz w:val="24"/>
          <w:szCs w:val="24"/>
        </w:rPr>
      </w:pPr>
    </w:p>
    <w:p>
      <w:pPr>
        <w:jc w:val="center"/>
        <w:rPr>
          <w:rFonts w:ascii="Times New Roman" w:hAnsi="Times New Roman" w:eastAsia="Times New Roman" w:cs="Times New Roman"/>
          <w:sz w:val="24"/>
          <w:szCs w:val="24"/>
        </w:rPr>
      </w:pPr>
    </w:p>
    <w:sectPr>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ADE0EE3"/>
    <w:rsid w:val="7FCD13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uiPriority w:val="0"/>
  </w:style>
  <w:style w:type="paragraph" w:styleId="14">
    <w:name w:val="Title"/>
    <w:basedOn w:val="1"/>
    <w:next w:val="1"/>
    <w:qFormat/>
    <w:uiPriority w:val="0"/>
    <w:pPr>
      <w:keepNext/>
      <w:keepLines/>
      <w:pageBreakBefore w:val="0"/>
      <w:spacing w:before="480" w:after="120"/>
    </w:pPr>
    <w:rPr>
      <w:b/>
      <w:sz w:val="72"/>
      <w:szCs w:val="72"/>
    </w:rPr>
  </w:style>
  <w:style w:type="table" w:customStyle="1" w:styleId="15">
    <w:name w:val="_Style 14"/>
    <w:basedOn w:val="13"/>
    <w:qFormat/>
    <w:uiPriority w:val="0"/>
    <w:pPr>
      <w:spacing w:after="0" w:line="240" w:lineRule="auto"/>
    </w:pPr>
    <w:tblPr>
      <w:tblCellMar>
        <w:top w:w="0" w:type="dxa"/>
        <w:left w:w="108" w:type="dxa"/>
        <w:bottom w:w="0" w:type="dxa"/>
        <w:right w:w="108" w:type="dxa"/>
      </w:tblCellMar>
    </w:tblPr>
  </w:style>
  <w:style w:type="table" w:customStyle="1" w:styleId="16">
    <w:name w:val="_Style 15"/>
    <w:basedOn w:val="13"/>
    <w:qFormat/>
    <w:uiPriority w:val="0"/>
    <w:pPr>
      <w:spacing w:after="0" w:line="240" w:lineRule="auto"/>
    </w:pPr>
    <w:tblPr>
      <w:tblCellMar>
        <w:top w:w="0" w:type="dxa"/>
        <w:left w:w="108" w:type="dxa"/>
        <w:bottom w:w="0" w:type="dxa"/>
        <w:right w:w="108" w:type="dxa"/>
      </w:tblCellMar>
    </w:tblPr>
  </w:style>
  <w:style w:type="table" w:customStyle="1" w:styleId="17">
    <w:name w:val="_Style 16"/>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4a63NsoBlrz6N1HkVmLv6BoAJA==">AMUW2mUz7jR/32nlz2XZ3QyzwLvJlzehoef9nikB9MizSe+2HeGwofPnB7hhRUXwigJKLcR89VFe9l1dxGfXau2QFdWdcM0wvJiCz4S1Ib1Gq9wuLtUrkOQ=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Words>130</Words>
  <Characters>783</Characters>
  <TotalTime>1</TotalTime>
  <ScaleCrop>false</ScaleCrop>
  <LinksUpToDate>false</LinksUpToDate>
  <CharactersWithSpaces>891</CharactersWithSpaces>
  <Application>WPS Office_11.2.0.11516_F1E327BC-269C-435d-A152-05C5408002CA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2023-04-02T08:56:00Z</dcterms:created>
  <dc:creator>admin</dc:creator>
  <cp:lastModifiedBy>kannan rajendran</cp:lastModifiedBy>
  <dcterms:modified xsi:type="dcterms:W3CDTF">2023-04-13T11:41:44Z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50C3185524BD4BAD81BF010BECB142D8</vt:lpwstr>
  </property>
</Properties>
</file>