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5 Student Support and Progression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5.1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rtl w:val="0"/>
        </w:rPr>
        <w:t>Student Progression</w:t>
      </w:r>
    </w:p>
    <w:tbl>
      <w:tblPr>
        <w:tblStyle w:val="1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5.1.4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The Institution has a transparent mechanism for timely redressal of student grievances including sexual harassment and ragging cases.</w:t>
            </w:r>
          </w:p>
          <w:p>
            <w:pPr>
              <w:spacing w:after="0"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1. Implementation of guidelines of statutory/regulatory bodies</w:t>
            </w:r>
          </w:p>
          <w:p>
            <w:pPr>
              <w:spacing w:after="0"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2. Organization wide awareness and undertakings on policies with zero tolerance</w:t>
            </w:r>
          </w:p>
          <w:p>
            <w:pPr>
              <w:spacing w:after="0" w:line="36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3. Mechanisms for submission of online/offline students’ grievances</w:t>
            </w:r>
          </w:p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4. Timely redressal of the grievances through appropriate committees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please provide Minutes of the meetings of the student grievance committee.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Minutes of the meetings of the students grievance committee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"https://www.easacollege.com/assets/naac/dvv-clarification/criterion-5/5.1.4/5 .1.4.1.pdf"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Please provide a Circular/web-link/ committee report. NOTE :- The mechanism of redressal should be available as a document and should be hosted in the HEI‟s Website.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Circular/web-link/ committee report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Provided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and the mechanism of redressal is hosted in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HEIs Website.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"https://www.easacollege.com/assets/naac/dvv-clarification/criterion-5/5.1.4/5 .1.4.2.pdf"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D854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LWoc7nRELz/UPlYdTZ/64xXRVw==">AMUW2mWsnmRv0TcQjBrnu1WCWyoQZm3xCq4UtO1TMW3iNDD2ggKNbRZLQ92TK+hyY3PhlGjIaSKxlKlFCy4MFqdLBwhDVqRfQvFCD+swKejPfAgvIRZxzPyCyCwjqzfCfpRk3GopagLU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144</Words>
  <Characters>871</Characters>
  <TotalTime>1</TotalTime>
  <ScaleCrop>false</ScaleCrop>
  <LinksUpToDate>false</LinksUpToDate>
  <CharactersWithSpaces>996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2023-04-02T06:24:00Z</dcterms:created>
  <dc:creator>roopa</dc:creator>
  <cp:lastModifiedBy>kannan rajendran</cp:lastModifiedBy>
  <dcterms:modified xsi:type="dcterms:W3CDTF">2023-04-07T14:30:06Z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86A5BA2B36624F3BBF59CB27E068B48C</vt:lpwstr>
  </property>
</Properties>
</file>