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6 Governance, Leadership and Management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6.3 Faculty Empowerment Strategies</w:t>
      </w:r>
    </w:p>
    <w:tbl>
      <w:tblPr>
        <w:tblStyle w:val="21"/>
        <w:tblW w:w="935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6.3.3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Percentage of teaching and non-teaching staff participating in Faculty development Programmes (FDP), professional development / administrative training programs during the last five years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</w:t>
      </w:r>
    </w:p>
    <w:p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6.3.3.1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Total number of teaching and non-teaching staff participating in Faculty development Programmes (FDP), professional development /administrative training programs during the last five years</w:t>
      </w:r>
    </w:p>
    <w:tbl>
      <w:tblPr>
        <w:tblStyle w:val="22"/>
        <w:tblW w:w="935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2019-2018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89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106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113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118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145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6.3.3.2 Number of non-teaching staff year wise during the last five years</w:t>
      </w:r>
    </w:p>
    <w:tbl>
      <w:tblPr>
        <w:tblStyle w:val="23"/>
        <w:tblW w:w="935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2019-2018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28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30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Percentage = 64.96</w:t>
      </w:r>
    </w:p>
    <w:tbl>
      <w:tblPr>
        <w:tblStyle w:val="24"/>
        <w:tblW w:w="934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5"/>
        <w:gridCol w:w="3360"/>
        <w:gridCol w:w="23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please provide Annual reports highlighting the programs organized by the institution.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Annual reports highlighting the programs organized by the institution are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"https://www.easacollege.com/assets/naac/dvv-clarification/criterion-6/6.3.3/6.3.3.1.pdf"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Annual Report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</w:p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"https://www.easacollege.com/assets/naac/dvv-clarification/criterion-6/6.3.3/6.3.3.2.pdf"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Programme Lis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  <w:rtl w:val="0"/>
              </w:rPr>
              <w:t>t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5166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qFormat/>
    <w:uiPriority w:val="99"/>
  </w:style>
  <w:style w:type="character" w:customStyle="1" w:styleId="19">
    <w:name w:val="Footer Char"/>
    <w:basedOn w:val="8"/>
    <w:link w:val="11"/>
    <w:qFormat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1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3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7Yqevj5Aa5VtlGqv7Np4X/5RRw==">AMUW2mX6/UUhqzz11f9ifi9OJqs6Qob0+WImCEPtRB1SoKRpuI3MCz8Z38huTjfCp/2/U15CVsnLNmHOscUUQ7K1mbl/b95EffQzq/8Cm/2/PhKmblSBOSU=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137</Words>
  <Characters>873</Characters>
  <TotalTime>1</TotalTime>
  <ScaleCrop>false</ScaleCrop>
  <LinksUpToDate>false</LinksUpToDate>
  <CharactersWithSpaces>973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2023-03-31T09:02:00Z</dcterms:created>
  <dc:creator>roopa</dc:creator>
  <cp:lastModifiedBy>kannan rajendran</cp:lastModifiedBy>
  <dcterms:modified xsi:type="dcterms:W3CDTF">2023-04-08T05:27:07Z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AF4F82B5886147A48F603F9A5602F96B</vt:lpwstr>
  </property>
</Properties>
</file>