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211" w:firstLineChars="100"/>
        <w:textAlignment w:val="auto"/>
        <w:rPr>
          <w:rFonts w:hint="eastAsia" w:ascii="仿宋" w:hAnsi="仿宋" w:eastAsia="仿宋"/>
          <w:b/>
          <w:bCs/>
          <w:color w:val="auto"/>
          <w:szCs w:val="24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Cs w:val="24"/>
          <w:lang w:val="en-US" w:eastAsia="zh-CN"/>
        </w:rPr>
        <w:t>进件管理详情页面字段：</w:t>
      </w:r>
    </w:p>
    <w:p>
      <w:pPr>
        <w:adjustRightInd w:val="0"/>
        <w:snapToGrid w:val="0"/>
        <w:spacing w:line="240" w:lineRule="auto"/>
        <w:ind w:left="210" w:leftChars="100" w:firstLine="210" w:firstLineChars="100"/>
        <w:rPr>
          <w:rFonts w:hint="default" w:ascii="仿宋" w:hAnsi="仿宋" w:eastAsia="仿宋"/>
          <w:color w:val="auto"/>
          <w:szCs w:val="24"/>
          <w:lang w:val="en-US" w:eastAsia="zh-CN"/>
        </w:rPr>
      </w:pPr>
      <w:bookmarkStart w:id="0" w:name="_GoBack"/>
      <w:bookmarkEnd w:id="0"/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1050"/>
        <w:gridCol w:w="935"/>
        <w:gridCol w:w="711"/>
        <w:gridCol w:w="845"/>
        <w:gridCol w:w="1282"/>
        <w:gridCol w:w="14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311" w:type="dxa"/>
            <w:shd w:val="clear" w:color="auto" w:fill="A6A6A6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/>
              </w:rPr>
            </w:pPr>
            <w:r>
              <w:rPr>
                <w:rFonts w:ascii="仿宋" w:hAnsi="仿宋" w:eastAsia="仿宋"/>
                <w:b/>
              </w:rPr>
              <w:t>字段</w:t>
            </w:r>
            <w:r>
              <w:rPr>
                <w:rFonts w:hint="eastAsia" w:ascii="仿宋" w:hAnsi="仿宋" w:eastAsia="仿宋"/>
                <w:b/>
              </w:rPr>
              <w:t>名称</w:t>
            </w:r>
          </w:p>
        </w:tc>
        <w:tc>
          <w:tcPr>
            <w:tcW w:w="1050" w:type="dxa"/>
            <w:shd w:val="clear" w:color="auto" w:fill="A6A6A6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/>
              </w:rPr>
            </w:pPr>
            <w:r>
              <w:rPr>
                <w:rFonts w:ascii="仿宋" w:hAnsi="仿宋" w:eastAsia="仿宋"/>
                <w:b/>
              </w:rPr>
              <w:t>字段类型</w:t>
            </w:r>
          </w:p>
        </w:tc>
        <w:tc>
          <w:tcPr>
            <w:tcW w:w="935" w:type="dxa"/>
            <w:shd w:val="clear" w:color="auto" w:fill="A6A6A6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/>
              </w:rPr>
            </w:pPr>
            <w:r>
              <w:rPr>
                <w:rFonts w:ascii="仿宋" w:hAnsi="仿宋" w:eastAsia="仿宋"/>
                <w:b/>
              </w:rPr>
              <w:t>字段长度</w:t>
            </w:r>
          </w:p>
        </w:tc>
        <w:tc>
          <w:tcPr>
            <w:tcW w:w="711" w:type="dxa"/>
            <w:shd w:val="clear" w:color="auto" w:fill="A6A6A6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/>
              </w:rPr>
            </w:pPr>
            <w:r>
              <w:rPr>
                <w:rFonts w:ascii="仿宋" w:hAnsi="仿宋" w:eastAsia="仿宋"/>
                <w:b/>
              </w:rPr>
              <w:t>是否必</w:t>
            </w:r>
            <w:r>
              <w:rPr>
                <w:rFonts w:hint="eastAsia" w:ascii="仿宋" w:hAnsi="仿宋" w:eastAsia="仿宋"/>
                <w:b/>
                <w:lang w:val="en-US" w:eastAsia="zh-CN"/>
              </w:rPr>
              <w:t>传</w:t>
            </w:r>
            <w:r>
              <w:rPr>
                <w:rFonts w:ascii="仿宋" w:hAnsi="仿宋" w:eastAsia="仿宋"/>
                <w:b/>
              </w:rPr>
              <w:t>项</w:t>
            </w:r>
          </w:p>
        </w:tc>
        <w:tc>
          <w:tcPr>
            <w:tcW w:w="845" w:type="dxa"/>
            <w:shd w:val="clear" w:color="auto" w:fill="A6A6A6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其他</w:t>
            </w:r>
            <w:r>
              <w:rPr>
                <w:rFonts w:ascii="仿宋" w:hAnsi="仿宋" w:eastAsia="仿宋"/>
                <w:b/>
              </w:rPr>
              <w:t>控制要求</w:t>
            </w:r>
          </w:p>
        </w:tc>
        <w:tc>
          <w:tcPr>
            <w:tcW w:w="1282" w:type="dxa"/>
            <w:shd w:val="clear" w:color="auto" w:fill="A6A6A6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数据项说明</w:t>
            </w:r>
          </w:p>
        </w:tc>
        <w:tc>
          <w:tcPr>
            <w:tcW w:w="1482" w:type="dxa"/>
            <w:shd w:val="clear" w:color="auto" w:fill="A6A6A6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/>
              </w:rPr>
            </w:pPr>
            <w:r>
              <w:rPr>
                <w:rFonts w:ascii="仿宋" w:hAnsi="仿宋" w:eastAsia="仿宋"/>
                <w:b/>
              </w:rPr>
              <w:t>字段之间制约关系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项目编码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left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工商业（GSY）+年月日（20260301）+编号（0</w:t>
            </w: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  <w:t>1）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主办业务经理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支持模糊查询</w:t>
            </w: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协办业务经理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支持模糊查询</w:t>
            </w: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状态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草稿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审批中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驳回修改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审核通过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当前审批节点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合作方提交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主办业务经理审批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协办业务经理审批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业务部门领导审批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授信审查岗审批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产品类型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经营租赁-光伏设备-工商业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对应经营系统租赁产品字段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租赁类型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经营租赁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合作方名称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展示当前登录账号所属的大商公司名称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承租人（项目公司）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支持模糊查询</w:t>
            </w: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从项目公示管理功能数据选择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项目名称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100字以内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其他项目信息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多行文本</w:t>
            </w: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1000字以内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项目位置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省市区控件</w:t>
            </w: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详细地址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200字以内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需调用高德地图组件，获取经纬度存储在数据表内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屋顶类型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水泥屋顶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安装方式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阵列式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阳光房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  <w:t>选用组件功率（W）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  <w:t>否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整数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组件类型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  <w:t>否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  <w:t>N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  <w:t>P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安装块数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  <w:t>否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整数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直流侧装机容量（KW）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整数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并网电压等级(V)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整数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业主变压器容量（kva）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整数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tabs>
                <w:tab w:val="left" w:pos="207"/>
              </w:tabs>
              <w:adjustRightInd w:val="0"/>
              <w:snapToGrid w:val="0"/>
              <w:spacing w:line="240" w:lineRule="exact"/>
              <w:jc w:val="left"/>
              <w:rPr>
                <w:rFonts w:hint="eastAsia" w:ascii="仿宋" w:hAnsi="仿宋" w:eastAsia="仿宋" w:cs="仿宋"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/>
              </w:rPr>
              <w:tab/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/>
              </w:rPr>
              <w:t>并网点数量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整数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能源管理合同年限（年）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整数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输入15至25区间数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设备提供方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支持模糊查询</w:t>
            </w: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默认合作方名称，可修改，调用客商。后台记录统一社会信用代码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工程承包方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支持模糊查询</w:t>
            </w: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调用客商。后台记录统一社会信用代码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业主全称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支持模糊查询</w:t>
            </w: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调用客商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业主统一社会信用代码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根据客商接口获取并默认展示，支持修改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tabs>
                <w:tab w:val="left" w:pos="266"/>
              </w:tabs>
              <w:adjustRightInd w:val="0"/>
              <w:snapToGrid w:val="0"/>
              <w:spacing w:line="240" w:lineRule="exact"/>
              <w:jc w:val="left"/>
              <w:rPr>
                <w:rFonts w:hint="eastAsia" w:ascii="仿宋" w:hAnsi="仿宋" w:eastAsia="仿宋" w:cs="仿宋"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/>
              </w:rPr>
              <w:tab/>
            </w:r>
            <w:r>
              <w:rPr>
                <w:rFonts w:hint="eastAsia" w:ascii="仿宋" w:hAnsi="仿宋" w:eastAsia="仿宋" w:cs="仿宋"/>
                <w:sz w:val="18"/>
                <w:szCs w:val="18"/>
                <w:lang w:eastAsia="zh-CN"/>
              </w:rPr>
              <w:t>业主法人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根据客商接口获取并默认展示，支持修改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业主注册资本（万元）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  <w:t>保留4位小数</w:t>
            </w: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根据客商接口获取并默认展示，支持修改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业主实缴资本（万元）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  <w:t>保留4位小数</w:t>
            </w: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根据客商接口获取并默认展示，支持修改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业主所属行业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  <w:t>行业四级选择</w:t>
            </w: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根据客商接口获取并默认展示，支持修改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是否危化品生产企业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否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是否公共服务机构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否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成立日期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日期型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根据客商接口获取并默认展示，支持修改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业主年工作日数（天）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整数</w:t>
            </w: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0-365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旺季月份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多选</w:t>
            </w: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1-12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淡季月份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多选</w:t>
            </w: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1-12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与旺季互斥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旺季每日工作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起止时刻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淡季每日工作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起止时刻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旺季每日工作时长（小时）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  <w:t>返显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根据旺季起止时刻计算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淡季每日工作时长（小时）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根据</w:t>
            </w: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淡</w:t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  <w:t>季起止时刻计算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业主月用电量（kwh）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保留2位小数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业主年用电量（kwh）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保留2位小数，根据12个月数据相加计算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房屋高度（米）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保留2位小数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房屋年龄（年）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保留2位小数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权利人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坐落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省市区+详细地址录入</w:t>
            </w: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土地权利类型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国有建设用地使用权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集体建设用地使用权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宅基地使用权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土地用途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工业用地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仓储用地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批发零售用地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商务金融用地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住宿餐饮用地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科教文卫用地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交通运输用地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机关团体用地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房屋用途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文本型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工业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仓储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商业服务</w:t>
            </w:r>
          </w:p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公共设施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土地使用权面积（m²）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保留2位小数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房屋建筑面积（m²）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数值型</w:t>
            </w:r>
          </w:p>
        </w:tc>
        <w:tc>
          <w:tcPr>
            <w:tcW w:w="93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82" w:type="dxa"/>
            <w:noWrap w:val="0"/>
            <w:vAlign w:val="top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保留2位小数</w:t>
            </w:r>
          </w:p>
        </w:tc>
        <w:tc>
          <w:tcPr>
            <w:tcW w:w="148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 w:cs="仿宋"/>
                <w:sz w:val="18"/>
                <w:szCs w:val="18"/>
              </w:rPr>
            </w:pPr>
          </w:p>
        </w:tc>
      </w:tr>
    </w:tbl>
    <w:p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B52B5"/>
    <w:rsid w:val="14DB52B5"/>
    <w:rsid w:val="6060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2026-04-13T07:54:00Z</dcterms:created>
  <dc:creator>adminis</dc:creator>
  <cp:lastModifiedBy>adminis</cp:lastModifiedBy>
  <dcterms:modified xsi:type="dcterms:W3CDTF">2026-04-13T08:17:22Z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C44C2F32EED042D4B0F4F24EEBD3400D</vt:lpwstr>
  </property>
</Properties>
</file>