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6E4443C8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7F4B73" w:rsidRP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3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Расчет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яркости в точке на плоскости от точечного источника света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5FD1595A" w14:textId="77777777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Система координат, диффузная плоскость, коэффициент диффузного отражения, библиотека двунаправленных функций рассеяния (ДФР, BSDF), точечный источник света с </w:t>
      </w:r>
      <w:proofErr w:type="spellStart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>равноинтенсивной</w:t>
      </w:r>
      <w:proofErr w:type="spellEnd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 диаграммой излучения, координаты точек в которых следует рассчитать яркость.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46031318" w:rsidR="005F6753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5F6753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i/>
          <w:iCs/>
        </w:rPr>
        <w:t>Овладеть</w:t>
      </w:r>
      <w:proofErr w:type="gramEnd"/>
      <w:r w:rsidR="005F6753" w:rsidRPr="005F6753">
        <w:rPr>
          <w:rFonts w:ascii="Helvetica Neue Light" w:eastAsia="Microsoft JhengHei" w:hAnsi="Helvetica Neue Light" w:cs="Malayalam MN"/>
          <w:i/>
          <w:iCs/>
        </w:rPr>
        <w:t xml:space="preserve"> навыками расчета яркости на диффузной плоскости как аналитически, так и с помощью компьютерного моделирования с использованием комплекса программ </w:t>
      </w:r>
      <w:proofErr w:type="spellStart"/>
      <w:r w:rsidR="005F6753" w:rsidRPr="005F6753">
        <w:rPr>
          <w:rFonts w:ascii="Helvetica Neue Light" w:eastAsia="Microsoft JhengHei" w:hAnsi="Helvetica Neue Light" w:cs="Malayalam MN"/>
          <w:i/>
          <w:iCs/>
        </w:rPr>
        <w:t>Lumicept</w:t>
      </w:r>
      <w:proofErr w:type="spellEnd"/>
      <w:r w:rsidR="005F6753" w:rsidRPr="005F6753">
        <w:rPr>
          <w:rFonts w:ascii="Helvetica Neue Light" w:eastAsia="Microsoft JhengHei" w:hAnsi="Helvetica Neue Light" w:cs="Malayalam MN"/>
          <w:i/>
          <w:iCs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42FF88F4" w14:textId="14A35E6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>Провести аналитический расчет яркости в заданных точках плоскости.</w:t>
      </w:r>
    </w:p>
    <w:p w14:paraId="106BCE06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Сформировать сцену в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 xml:space="preserve"> с заданной геометрией и оптическими свойствами.</w:t>
      </w:r>
    </w:p>
    <w:p w14:paraId="581A74A8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численный расчет яркости в заданных точках плоскости с помощью программного комплекса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</w:t>
      </w:r>
    </w:p>
    <w:p w14:paraId="5A694E23" w14:textId="4BBCC54C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моделирование изображения с различными двунаправленными функциями отражения (ДФО,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BRDF</w:t>
      </w:r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FA57D9F" w14:textId="445AB3ED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или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PowerPoint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 Результаты моделирования представить в виде таблицы. Сравнить с результатами аналитического расчета. К отчету приложить файл скрипта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py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 и финальной сцены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iof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6B56CE1" w14:textId="77777777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</w:p>
    <w:p w14:paraId="60FDCA99" w14:textId="12AF1C14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  <w:r>
        <w:rPr>
          <w:rFonts w:ascii="Helvetica Neue Light" w:hAnsi="Helvetica Neue Light" w:cs="Times New Roman"/>
          <w:noProof/>
          <w:sz w:val="24"/>
          <w:szCs w:val="24"/>
        </w:rPr>
        <w:drawing>
          <wp:inline distT="0" distB="0" distL="0" distR="0" wp14:anchorId="4DCA142B" wp14:editId="7FB1303F">
            <wp:extent cx="4659087" cy="349431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76" cy="35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Выполнение</w:t>
      </w:r>
    </w:p>
    <w:p w14:paraId="1AF09684" w14:textId="241BABC1" w:rsidR="00083564" w:rsidRDefault="008F5E2D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Создал скриптом </w:t>
      </w:r>
      <w:r w:rsidRPr="005F2CE4">
        <w:rPr>
          <w:rFonts w:ascii="Cascadia Code" w:eastAsia="Montserrat" w:hAnsi="Cascadia Code" w:cs="Montserrat"/>
          <w:color w:val="000000" w:themeColor="text1"/>
          <w:lang w:val="ru-RU"/>
        </w:rPr>
        <w:t>lab3-18.10.22.</w:t>
      </w:r>
      <w:proofErr w:type="spellStart"/>
      <w:r w:rsidRPr="005F2CE4">
        <w:rPr>
          <w:rFonts w:ascii="Cascadia Code" w:eastAsia="Montserrat" w:hAnsi="Cascadia Code" w:cs="Montserrat"/>
          <w:color w:val="000000" w:themeColor="text1"/>
          <w:lang w:val="en-US"/>
        </w:rPr>
        <w:t>py</w:t>
      </w:r>
      <w:proofErr w:type="spellEnd"/>
      <w:r w:rsidRPr="008F5E2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сцену с 4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обсёрверами</w:t>
      </w:r>
      <w:proofErr w:type="spellEnd"/>
      <w:r w:rsidR="00B232C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накрывающими плоскость, задал параметры (направление, угол обзора). В сравнении с прошлой лабораторной работы изменился материал плоскости и цветовая модель.</w:t>
      </w:r>
      <w:r w:rsidR="003D6BA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После расчётов, были получены следующие карты яркости:</w:t>
      </w: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62"/>
        <w:gridCol w:w="2262"/>
        <w:gridCol w:w="2291"/>
      </w:tblGrid>
      <w:tr w:rsidR="00B24C6C" w14:paraId="47DA0BBE" w14:textId="77777777" w:rsidTr="00860829">
        <w:tc>
          <w:tcPr>
            <w:tcW w:w="2254" w:type="dxa"/>
          </w:tcPr>
          <w:p w14:paraId="11758811" w14:textId="28C56350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77FBE2B" wp14:editId="7E256937">
                  <wp:extent cx="1342103" cy="19812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8" cy="200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64F1BA15" w14:textId="1E2466F5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758E9746" wp14:editId="23361E06">
                  <wp:extent cx="1374365" cy="20288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213" cy="203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287CA387" w14:textId="50081540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1240726" wp14:editId="625833B6">
                  <wp:extent cx="1374365" cy="20288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06" cy="20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509A3B19" w14:textId="21596FF6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7F28E5F0" wp14:editId="5DB10703">
                  <wp:extent cx="1393723" cy="2057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30" cy="206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C6C" w14:paraId="3ACDEEB8" w14:textId="77777777" w:rsidTr="00860829">
        <w:tc>
          <w:tcPr>
            <w:tcW w:w="2254" w:type="dxa"/>
          </w:tcPr>
          <w:p w14:paraId="130153D0" w14:textId="775C1CA9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06E5F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-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34F91998" w14:textId="23C476C2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06E5F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-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5357BD8D" w14:textId="507AE8F0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680FA230" w14:textId="69974326" w:rsidR="005F2CE4" w:rsidRPr="007F335E" w:rsidRDefault="007F335E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0,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en-US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</w:tr>
    </w:tbl>
    <w:p w14:paraId="5498CFF9" w14:textId="1CE1A458" w:rsidR="003D6BAB" w:rsidRDefault="003D6BAB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439E05BE" w14:textId="21DA610A" w:rsidR="00EA3872" w:rsidRDefault="00E74737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Как можно видеть, в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обсёрверы</w:t>
      </w:r>
      <w:proofErr w:type="spellEnd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с меньшим углом обзора попадает меньше лучей, поэтому изображение получается зашумлённым. </w:t>
      </w:r>
      <w:r w:rsidR="0011350C" w:rsidRP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Р</w:t>
      </w:r>
      <w:r w:rsid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езультаты были занесены в таблицу </w:t>
      </w:r>
      <w:r w:rsidR="00BD553D" w:rsidRPr="00BD553D">
        <w:rPr>
          <w:rFonts w:ascii="Cascadia Code" w:eastAsia="Montserrat" w:hAnsi="Cascadia Code" w:cs="Montserrat"/>
          <w:color w:val="000000" w:themeColor="text1"/>
          <w:lang w:val="ru-RU"/>
        </w:rPr>
        <w:t>lab3-18.10.22</w:t>
      </w:r>
      <w:r w:rsidR="0011350C" w:rsidRPr="00BD553D">
        <w:rPr>
          <w:rFonts w:ascii="Cascadia Code" w:eastAsia="Montserrat" w:hAnsi="Cascadia Code" w:cs="Montserrat"/>
          <w:color w:val="000000" w:themeColor="text1"/>
          <w:lang w:val="ru-RU"/>
        </w:rPr>
        <w:t>.</w:t>
      </w:r>
      <w:r w:rsidR="0011350C" w:rsidRPr="00BD553D">
        <w:rPr>
          <w:rFonts w:ascii="Cascadia Code" w:eastAsia="Montserrat" w:hAnsi="Cascadia Code" w:cs="Montserrat"/>
          <w:color w:val="000000" w:themeColor="text1"/>
          <w:lang w:val="en-US"/>
        </w:rPr>
        <w:t>xlsx</w:t>
      </w:r>
      <w:r w:rsid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где также были произведены аналитические расчёты и сравнение полученных результатов.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EA3872" w14:paraId="6FCDB2EA" w14:textId="77777777" w:rsidTr="009667B8">
        <w:tc>
          <w:tcPr>
            <w:tcW w:w="4509" w:type="dxa"/>
            <w:gridSpan w:val="3"/>
          </w:tcPr>
          <w:p w14:paraId="574C8E05" w14:textId="217E3700" w:rsidR="00EA3872" w:rsidRPr="00EA3872" w:rsidRDefault="00EA3872" w:rsidP="00AF1E3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Radiometric</w:t>
            </w:r>
            <w:proofErr w:type="spellEnd"/>
          </w:p>
        </w:tc>
        <w:tc>
          <w:tcPr>
            <w:tcW w:w="4510" w:type="dxa"/>
            <w:gridSpan w:val="3"/>
          </w:tcPr>
          <w:p w14:paraId="1B498DB2" w14:textId="49E65421" w:rsidR="00EA3872" w:rsidRPr="00EA3872" w:rsidRDefault="00EA3872" w:rsidP="00AF1E3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Photometric</w:t>
            </w:r>
            <w:proofErr w:type="spellEnd"/>
          </w:p>
        </w:tc>
      </w:tr>
      <w:tr w:rsidR="0022455D" w14:paraId="2A36067B" w14:textId="77777777" w:rsidTr="00496417">
        <w:tc>
          <w:tcPr>
            <w:tcW w:w="1503" w:type="dxa"/>
          </w:tcPr>
          <w:p w14:paraId="41559F43" w14:textId="14D16E52" w:rsidR="0022455D" w:rsidRPr="0022455D" w:rsidRDefault="0022455D" w:rsidP="0022455D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Analitycal</w:t>
            </w:r>
            <w:proofErr w:type="spellEnd"/>
          </w:p>
        </w:tc>
        <w:tc>
          <w:tcPr>
            <w:tcW w:w="1503" w:type="dxa"/>
          </w:tcPr>
          <w:p w14:paraId="0CCBA8AE" w14:textId="7785062B" w:rsidR="0022455D" w:rsidRPr="0022455D" w:rsidRDefault="0022455D" w:rsidP="0022455D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Lumicept</w:t>
            </w:r>
            <w:proofErr w:type="spellEnd"/>
          </w:p>
        </w:tc>
        <w:tc>
          <w:tcPr>
            <w:tcW w:w="1503" w:type="dxa"/>
          </w:tcPr>
          <w:p w14:paraId="7C12DECB" w14:textId="77777777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  <w:vAlign w:val="bottom"/>
          </w:tcPr>
          <w:p w14:paraId="7AFA0BCD" w14:textId="1A2889F0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Analitycal</w:t>
            </w:r>
            <w:proofErr w:type="spellEnd"/>
          </w:p>
        </w:tc>
        <w:tc>
          <w:tcPr>
            <w:tcW w:w="1503" w:type="dxa"/>
            <w:vAlign w:val="bottom"/>
          </w:tcPr>
          <w:p w14:paraId="65A3B3A0" w14:textId="20406C4B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Lumicept</w:t>
            </w:r>
            <w:proofErr w:type="spellEnd"/>
          </w:p>
        </w:tc>
        <w:tc>
          <w:tcPr>
            <w:tcW w:w="1504" w:type="dxa"/>
          </w:tcPr>
          <w:p w14:paraId="542F0094" w14:textId="77777777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22455D" w14:paraId="448E2F03" w14:textId="77777777" w:rsidTr="005655C7">
        <w:tc>
          <w:tcPr>
            <w:tcW w:w="1503" w:type="dxa"/>
            <w:vAlign w:val="bottom"/>
          </w:tcPr>
          <w:p w14:paraId="75A378EB" w14:textId="1FDD1B12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1B62C037" w14:textId="22A585D9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3674C6BD" w14:textId="54162F1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∆L %</w:t>
            </w:r>
          </w:p>
        </w:tc>
        <w:tc>
          <w:tcPr>
            <w:tcW w:w="1503" w:type="dxa"/>
            <w:vAlign w:val="bottom"/>
          </w:tcPr>
          <w:p w14:paraId="38F90273" w14:textId="06980D6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43DFBBAF" w14:textId="124690AB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4" w:type="dxa"/>
            <w:vAlign w:val="bottom"/>
          </w:tcPr>
          <w:p w14:paraId="79301478" w14:textId="3828B3B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∆L%</w:t>
            </w:r>
          </w:p>
        </w:tc>
      </w:tr>
      <w:tr w:rsidR="00EA3872" w14:paraId="3EA8CE85" w14:textId="77777777" w:rsidTr="00EA3872">
        <w:tc>
          <w:tcPr>
            <w:tcW w:w="1503" w:type="dxa"/>
          </w:tcPr>
          <w:p w14:paraId="1DAE63D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6387868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F70170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A3155C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1B52131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3CC7237A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223C910F" w14:textId="77777777" w:rsidTr="00EA3872">
        <w:tc>
          <w:tcPr>
            <w:tcW w:w="1503" w:type="dxa"/>
          </w:tcPr>
          <w:p w14:paraId="6D079DE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842969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D9804B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BF881A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792692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36D8478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20A06D95" w14:textId="77777777" w:rsidTr="00EA3872">
        <w:tc>
          <w:tcPr>
            <w:tcW w:w="1503" w:type="dxa"/>
          </w:tcPr>
          <w:p w14:paraId="0895BAD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32D0A5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1F295B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265FC0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D823FA8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18D0E2F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5CE66C45" w14:textId="77777777" w:rsidTr="00EA3872">
        <w:tc>
          <w:tcPr>
            <w:tcW w:w="1503" w:type="dxa"/>
          </w:tcPr>
          <w:p w14:paraId="4598C206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058324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28E90D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256310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FA500D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081D08C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26FD771B" w14:textId="77777777" w:rsidTr="00EA3872">
        <w:tc>
          <w:tcPr>
            <w:tcW w:w="1503" w:type="dxa"/>
          </w:tcPr>
          <w:p w14:paraId="0ED472D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745E7B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FD8046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D2D5C2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035064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5D3DCD6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7B954939" w14:textId="77777777" w:rsidTr="00EA3872">
        <w:tc>
          <w:tcPr>
            <w:tcW w:w="1503" w:type="dxa"/>
          </w:tcPr>
          <w:p w14:paraId="64CF115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6D9EC5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14D5B8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FBCA58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32800D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60B42FA9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06268AEB" w14:textId="77777777" w:rsidTr="00EA3872">
        <w:tc>
          <w:tcPr>
            <w:tcW w:w="1503" w:type="dxa"/>
          </w:tcPr>
          <w:p w14:paraId="2926FFF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835EB03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785B4D9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F77ABB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D0479B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6FBECF6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477483D0" w14:textId="77777777" w:rsidTr="00EA3872">
        <w:tc>
          <w:tcPr>
            <w:tcW w:w="1503" w:type="dxa"/>
          </w:tcPr>
          <w:p w14:paraId="0FAC025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4E3449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DCBEF9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3B2277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4A0533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75A49EF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1A0B67C1" w14:textId="77777777" w:rsidTr="00EA3872">
        <w:tc>
          <w:tcPr>
            <w:tcW w:w="1503" w:type="dxa"/>
          </w:tcPr>
          <w:p w14:paraId="5BF1A10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FBC251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FE709F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D762E2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9D698AA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68AB98A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1E0BD879" w14:textId="77777777" w:rsidTr="00EA3872">
        <w:tc>
          <w:tcPr>
            <w:tcW w:w="1503" w:type="dxa"/>
          </w:tcPr>
          <w:p w14:paraId="429815FA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F9000D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27E37D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F30075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097951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323E609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63849E05" w14:textId="77777777" w:rsidTr="00EA3872">
        <w:tc>
          <w:tcPr>
            <w:tcW w:w="1503" w:type="dxa"/>
          </w:tcPr>
          <w:p w14:paraId="477C511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74046AA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7E390A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031D0B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220686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0051F73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44EC20CB" w14:textId="77777777" w:rsidTr="00EA3872">
        <w:tc>
          <w:tcPr>
            <w:tcW w:w="1503" w:type="dxa"/>
          </w:tcPr>
          <w:p w14:paraId="71AF10F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429FA4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972E15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73B89E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225CE0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4F5D2F4B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17B4A8C0" w14:textId="77777777" w:rsidTr="00EA3872">
        <w:tc>
          <w:tcPr>
            <w:tcW w:w="1503" w:type="dxa"/>
          </w:tcPr>
          <w:p w14:paraId="31B2EFB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8A28BB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ED664E3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1E932E8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3A52AAF9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1075F13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6D400F14" w14:textId="77777777" w:rsidTr="00EA3872">
        <w:tc>
          <w:tcPr>
            <w:tcW w:w="1503" w:type="dxa"/>
          </w:tcPr>
          <w:p w14:paraId="08BA7D5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566E677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07A4531A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614C74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62D45BC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31D9027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3F871BE2" w14:textId="77777777" w:rsidTr="00EA3872">
        <w:tc>
          <w:tcPr>
            <w:tcW w:w="1503" w:type="dxa"/>
          </w:tcPr>
          <w:p w14:paraId="4D8F6488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1108F66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359F54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D245C1E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6EEE03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351D490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25378B09" w14:textId="77777777" w:rsidTr="00EA3872">
        <w:tc>
          <w:tcPr>
            <w:tcW w:w="1503" w:type="dxa"/>
          </w:tcPr>
          <w:p w14:paraId="3D45897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2FB858D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E347D61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EBACD33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6F5F0AF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2C35C0F0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A3872" w14:paraId="3ADA3222" w14:textId="77777777" w:rsidTr="00EA3872">
        <w:tc>
          <w:tcPr>
            <w:tcW w:w="1503" w:type="dxa"/>
          </w:tcPr>
          <w:p w14:paraId="5EDD958F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75BF7F1D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4E7C7884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182838E5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</w:tcPr>
          <w:p w14:paraId="5A1B73F8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4" w:type="dxa"/>
          </w:tcPr>
          <w:p w14:paraId="6A3CD592" w14:textId="77777777" w:rsidR="00EA3872" w:rsidRDefault="00EA3872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55B4979C" w14:textId="77777777" w:rsidR="00294AE0" w:rsidRDefault="00294AE0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3CD425B4" w14:textId="42FF42DB" w:rsidR="00C56496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lastRenderedPageBreak/>
        <w:t>Далее было проведено моделирование изображения с различными двунаправленными функциями отражения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BRDF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рассеивания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BTDF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</w:t>
      </w: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из библиотеки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Lumicept</w:t>
      </w:r>
      <w:proofErr w:type="spellEnd"/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Такие функции описывают перенос энергии между направление падения и отражения света. Как можно видеть на </w:t>
      </w:r>
      <w:r w:rsidR="00C56496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картинках, это </w:t>
      </w:r>
      <w:r w:rsidR="00CE604A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позволяют придать вид различных материалов из физического мира.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загрузил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одну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из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готовых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сцен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:\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Users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Public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Documents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Integra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Lumicept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 xml:space="preserve"> 11.31 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x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64\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scenes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btdf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blue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.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iof</w:t>
      </w:r>
      <w:proofErr w:type="spellEnd"/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применил к объекту шара сцены.</w:t>
      </w:r>
    </w:p>
    <w:p w14:paraId="5A6F268D" w14:textId="77777777" w:rsidR="008F40AC" w:rsidRDefault="008F40AC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7EB7031A" w14:textId="77777777" w:rsidR="001074A6" w:rsidRDefault="001074A6" w:rsidP="00D30094">
      <w:pPr>
        <w:keepNext/>
        <w:jc w:val="center"/>
      </w:pPr>
      <w:r>
        <w:rPr>
          <w:rFonts w:ascii="Helvetica Neue Light" w:eastAsia="Montserrat" w:hAnsi="Helvetica Neue Light" w:cs="Montserrat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3301481" wp14:editId="6C46C663">
            <wp:extent cx="4232460" cy="26452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29" cy="26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B52" w14:textId="4461CEB8" w:rsidR="005A64D8" w:rsidRDefault="001074A6" w:rsidP="001074A6">
      <w:pPr>
        <w:pStyle w:val="aff0"/>
        <w:jc w:val="center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074A6">
        <w:t xml:space="preserve">: Оригинальная сцена: </w:t>
      </w:r>
      <w:r>
        <w:rPr>
          <w:lang w:val="en-US"/>
        </w:rPr>
        <w:t>diff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BTDF</w:t>
      </w:r>
      <w:r w:rsidRPr="001074A6">
        <w:t xml:space="preserve"> = </w:t>
      </w:r>
      <w:r>
        <w:rPr>
          <w:lang w:val="en-US"/>
        </w:rPr>
        <w:t>violet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92"/>
        <w:gridCol w:w="4527"/>
      </w:tblGrid>
      <w:tr w:rsidR="001074A6" w:rsidRPr="00506E5F" w14:paraId="51697D0C" w14:textId="77777777" w:rsidTr="005A64D8">
        <w:tc>
          <w:tcPr>
            <w:tcW w:w="4509" w:type="dxa"/>
          </w:tcPr>
          <w:p w14:paraId="048517D0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342AD287" wp14:editId="41ED098F">
                  <wp:extent cx="2718876" cy="169926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99" cy="17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7D144" w14:textId="3F15CFC8" w:rsidR="001074A6" w:rsidRPr="001074A6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bubble</w:t>
            </w:r>
          </w:p>
        </w:tc>
        <w:tc>
          <w:tcPr>
            <w:tcW w:w="4510" w:type="dxa"/>
          </w:tcPr>
          <w:p w14:paraId="73F32C9D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42F4328F" wp14:editId="1EA65A06">
                  <wp:extent cx="2746375" cy="17164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18" cy="172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3D4DA" w14:textId="7CB0203B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bean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violet</w:t>
            </w:r>
          </w:p>
        </w:tc>
      </w:tr>
      <w:tr w:rsidR="001074A6" w:rsidRPr="00506E5F" w14:paraId="2F04D056" w14:textId="77777777" w:rsidTr="005A64D8">
        <w:tc>
          <w:tcPr>
            <w:tcW w:w="4509" w:type="dxa"/>
          </w:tcPr>
          <w:p w14:paraId="46FCE1DC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D81771F" wp14:editId="7C138610">
                  <wp:extent cx="2718435" cy="1698984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94" cy="17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F04A2" w14:textId="1671C073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grassy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не</w:t>
            </w:r>
            <w:proofErr w:type="spellEnd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задано</w:t>
            </w:r>
            <w:proofErr w:type="spellEnd"/>
          </w:p>
        </w:tc>
        <w:tc>
          <w:tcPr>
            <w:tcW w:w="4510" w:type="dxa"/>
          </w:tcPr>
          <w:p w14:paraId="6D4B82AA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FA404FF" wp14:editId="0C529323">
                  <wp:extent cx="2731135" cy="1706922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52" cy="171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19B70" w14:textId="6D630D2A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yellow</w:t>
            </w:r>
          </w:p>
        </w:tc>
      </w:tr>
    </w:tbl>
    <w:p w14:paraId="14560DC3" w14:textId="11780AAE" w:rsidR="005F6753" w:rsidRDefault="005F6753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Вывод</w:t>
      </w:r>
    </w:p>
    <w:p w14:paraId="5939AAB0" w14:textId="2BAEF662" w:rsidR="005F6753" w:rsidRPr="005A4BCA" w:rsidRDefault="005A4BCA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 как аналитические и программные расчёты сошлись с небольшой погрешностью, можно сделать вывод о том, что я научился рассчитывать яркость </w:t>
      </w:r>
      <w:r w:rsidR="00FA16DF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 точках сцены.</w:t>
      </w:r>
    </w:p>
    <w:sectPr w:rsidR="005F6753" w:rsidRPr="005A4BCA">
      <w:footerReference w:type="defaul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5648" w14:textId="77777777" w:rsidR="00B33E71" w:rsidRDefault="00B33E71">
      <w:pPr>
        <w:spacing w:line="240" w:lineRule="auto"/>
      </w:pPr>
      <w:r>
        <w:separator/>
      </w:r>
    </w:p>
  </w:endnote>
  <w:endnote w:type="continuationSeparator" w:id="0">
    <w:p w14:paraId="10715127" w14:textId="77777777" w:rsidR="00B33E71" w:rsidRDefault="00B33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charset w:val="00"/>
    <w:family w:val="auto"/>
    <w:pitch w:val="variable"/>
    <w:sig w:usb0="A00002FF" w:usb1="5000205B" w:usb2="00000002" w:usb3="00000000" w:csb0="0000000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ayalam MN">
    <w:charset w:val="00"/>
    <w:family w:val="auto"/>
    <w:pitch w:val="variable"/>
    <w:sig w:usb0="00800003" w:usb1="00000000" w:usb2="0000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1BEA" w14:textId="77777777" w:rsidR="00B33E71" w:rsidRDefault="00B33E71">
      <w:pPr>
        <w:spacing w:line="240" w:lineRule="auto"/>
      </w:pPr>
      <w:r>
        <w:separator/>
      </w:r>
    </w:p>
  </w:footnote>
  <w:footnote w:type="continuationSeparator" w:id="0">
    <w:p w14:paraId="0310C063" w14:textId="77777777" w:rsidR="00B33E71" w:rsidRDefault="00B33E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164A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C06DF"/>
    <w:rsid w:val="001C60E6"/>
    <w:rsid w:val="001D5E58"/>
    <w:rsid w:val="001D640E"/>
    <w:rsid w:val="001E41A0"/>
    <w:rsid w:val="0022455D"/>
    <w:rsid w:val="002754E6"/>
    <w:rsid w:val="00294AE0"/>
    <w:rsid w:val="002C1D48"/>
    <w:rsid w:val="002C5250"/>
    <w:rsid w:val="00301779"/>
    <w:rsid w:val="00335885"/>
    <w:rsid w:val="003879E0"/>
    <w:rsid w:val="003D6BAB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06E5F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47A1E"/>
    <w:rsid w:val="00787CB9"/>
    <w:rsid w:val="007E446B"/>
    <w:rsid w:val="007F335E"/>
    <w:rsid w:val="007F4B73"/>
    <w:rsid w:val="007F53C1"/>
    <w:rsid w:val="00860829"/>
    <w:rsid w:val="008F40AC"/>
    <w:rsid w:val="008F5E2D"/>
    <w:rsid w:val="00945382"/>
    <w:rsid w:val="009606DC"/>
    <w:rsid w:val="00971EB8"/>
    <w:rsid w:val="00983048"/>
    <w:rsid w:val="009C2410"/>
    <w:rsid w:val="009C69D2"/>
    <w:rsid w:val="00A63B4E"/>
    <w:rsid w:val="00A82812"/>
    <w:rsid w:val="00AF1E32"/>
    <w:rsid w:val="00B07179"/>
    <w:rsid w:val="00B232CD"/>
    <w:rsid w:val="00B24C6C"/>
    <w:rsid w:val="00B33E71"/>
    <w:rsid w:val="00B87233"/>
    <w:rsid w:val="00BB6E74"/>
    <w:rsid w:val="00BC4697"/>
    <w:rsid w:val="00BD553D"/>
    <w:rsid w:val="00BD69BA"/>
    <w:rsid w:val="00C42B7A"/>
    <w:rsid w:val="00C56496"/>
    <w:rsid w:val="00CE604A"/>
    <w:rsid w:val="00D30094"/>
    <w:rsid w:val="00D5551F"/>
    <w:rsid w:val="00D86E5C"/>
    <w:rsid w:val="00DC3E57"/>
    <w:rsid w:val="00E03522"/>
    <w:rsid w:val="00E27C24"/>
    <w:rsid w:val="00E74737"/>
    <w:rsid w:val="00EA3872"/>
    <w:rsid w:val="00F0290E"/>
    <w:rsid w:val="00F551C4"/>
    <w:rsid w:val="00FA16DF"/>
    <w:rsid w:val="00FC5F67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Артемий Кульбако</cp:lastModifiedBy>
  <cp:revision>174</cp:revision>
  <dcterms:created xsi:type="dcterms:W3CDTF">2022-09-12T01:01:00Z</dcterms:created>
  <dcterms:modified xsi:type="dcterms:W3CDTF">2022-10-22T23:55:00Z</dcterms:modified>
</cp:coreProperties>
</file>