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42.0" w:type="dxa"/>
        <w:jc w:val="left"/>
        <w:tblLayout w:type="fixed"/>
        <w:tblLook w:val="0400"/>
      </w:tblPr>
      <w:tblGrid>
        <w:gridCol w:w="2258"/>
        <w:gridCol w:w="7084"/>
        <w:tblGridChange w:id="0">
          <w:tblGrid>
            <w:gridCol w:w="2258"/>
            <w:gridCol w:w="70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 Use Case Description</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Name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5">
            <w:pPr>
              <w:spacing w:after="0" w:line="240" w:lineRule="auto"/>
              <w:rPr>
                <w:rFonts w:ascii="Times New Roman" w:cs="Times New Roman" w:eastAsia="Times New Roman" w:hAnsi="Times New Roman"/>
              </w:rPr>
            </w:pPr>
            <w:sdt>
              <w:sdtPr>
                <w:id w:val="1758314982"/>
                <w:tag w:val="goog_rdk_0"/>
              </w:sdtPr>
              <w:sdtContent>
                <w:commentRangeStart w:id="0"/>
              </w:sdtContent>
            </w:sdt>
            <w:sdt>
              <w:sdtPr>
                <w:id w:val="1147195978"/>
                <w:tag w:val="goog_rdk_1"/>
              </w:sdtPr>
              <w:sdtContent>
                <w:commentRangeStart w:id="1"/>
              </w:sdtContent>
            </w:sdt>
            <w:sdt>
              <w:sdtPr>
                <w:id w:val="1405177323"/>
                <w:tag w:val="goog_rdk_2"/>
              </w:sdtPr>
              <w:sdtContent>
                <w:commentRangeStart w:id="2"/>
              </w:sdtContent>
            </w:sdt>
            <w:r w:rsidDel="00000000" w:rsidR="00000000" w:rsidRPr="00000000">
              <w:rPr>
                <w:rFonts w:ascii="Times New Roman" w:cs="Times New Roman" w:eastAsia="Times New Roman" w:hAnsi="Times New Roman"/>
                <w:color w:val="000000"/>
                <w:sz w:val="20"/>
                <w:szCs w:val="20"/>
                <w:rtl w:val="0"/>
              </w:rPr>
              <w:t xml:space="preserve">Reasoning About Action Feasibility from Physical Properties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Identifier</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UC-ActionFeasibility-01</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Source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LACAI Lab, Department of Computer Science, Rensselaer Polytechnic Institute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Point of Contact</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B">
            <w:pPr>
              <w:spacing w:after="0" w:line="240" w:lineRule="auto"/>
              <w:rPr>
                <w:rFonts w:ascii="Batang" w:cs="Batang" w:eastAsia="Batang" w:hAnsi="Batang"/>
              </w:rPr>
            </w:pPr>
            <w:r w:rsidDel="00000000" w:rsidR="00000000" w:rsidRPr="00000000">
              <w:rPr>
                <w:rFonts w:ascii="Times New Roman" w:cs="Times New Roman" w:eastAsia="Times New Roman" w:hAnsi="Times New Roman"/>
                <w:color w:val="000000"/>
                <w:sz w:val="20"/>
                <w:szCs w:val="20"/>
                <w:rtl w:val="0"/>
              </w:rPr>
              <w:t xml:space="preserve">Hyejin Park, Department of Computer Science, Rensselaer Polytechnic Institute, parkh12@rpi.edu</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Creation / Revision Date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September 5, 2026</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Associated Documents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Nothing at this stage</w:t>
            </w:r>
            <w:r w:rsidDel="00000000" w:rsidR="00000000" w:rsidRPr="00000000">
              <w:rPr>
                <w:rtl w:val="0"/>
              </w:rPr>
            </w:r>
          </w:p>
        </w:tc>
      </w:tr>
    </w:tbl>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tl w:val="0"/>
        </w:rPr>
      </w:r>
    </w:p>
    <w:tbl>
      <w:tblPr>
        <w:tblStyle w:val="Table2"/>
        <w:tblW w:w="9342.0" w:type="dxa"/>
        <w:jc w:val="left"/>
        <w:tblLayout w:type="fixed"/>
        <w:tblLook w:val="0400"/>
      </w:tblPr>
      <w:tblGrid>
        <w:gridCol w:w="1558"/>
        <w:gridCol w:w="7784"/>
        <w:tblGridChange w:id="0">
          <w:tblGrid>
            <w:gridCol w:w="1558"/>
            <w:gridCol w:w="77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II. Use Case Summary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Goal</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Develop an ontology that captures relationships among objects, their physical properties, and action requirements so that a system can reason about whether an object is suitable for a given action and explain why.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ontology should represent objects, actions, physical properties, and action requirements, as well as the relationships among them. It should capture both enabling and blocking conditions for an action and support reasoning about whether an object satisfies the physical requirements of a given action. The representation should also support an explanation of why an action is feasible or infeasible based on the relevant physical properties.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Scope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initial scope is limited to everyday object manipulation in kitchen environments, where objects are used to perform common actions such as cutting, opening, containing, stirring, or peeling. The ontology will focus on </w:t>
            </w:r>
            <w:sdt>
              <w:sdtPr>
                <w:id w:val="-72815294"/>
                <w:tag w:val="goog_rdk_3"/>
              </w:sdtPr>
              <w:sdtContent>
                <w:commentRangeStart w:id="3"/>
              </w:sdtContent>
            </w:sdt>
            <w:r w:rsidDel="00000000" w:rsidR="00000000" w:rsidRPr="00000000">
              <w:rPr>
                <w:rFonts w:ascii="Times New Roman" w:cs="Times New Roman" w:eastAsia="Times New Roman" w:hAnsi="Times New Roman"/>
                <w:color w:val="000000"/>
                <w:sz w:val="20"/>
                <w:szCs w:val="20"/>
                <w:rtl w:val="0"/>
              </w:rPr>
              <w:t xml:space="preserve">physical properties</w:t>
            </w:r>
            <w:commentRangeEnd w:id="3"/>
            <w:r w:rsidDel="00000000" w:rsidR="00000000" w:rsidRPr="00000000">
              <w:commentReference w:id="3"/>
            </w:r>
            <w:r w:rsidDel="00000000" w:rsidR="00000000" w:rsidRPr="00000000">
              <w:rPr>
                <w:rFonts w:ascii="Times New Roman" w:cs="Times New Roman" w:eastAsia="Times New Roman" w:hAnsi="Times New Roman"/>
                <w:color w:val="000000"/>
                <w:sz w:val="20"/>
                <w:szCs w:val="20"/>
                <w:rtl w:val="0"/>
              </w:rPr>
              <w:t xml:space="preserve"> of objects, relevant object parts, and action requirements that determine whether an action is feasible or infeasible. Broader environments and more complex activities are outside the initial scope but may be incorporated in later extensions.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Priority</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High — representing action feasibility from physical properties is central to the intended reasoning task and provides the foundation for later extensions of the ontology.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Stakeholders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Primary stakeholders are researchers in knowledge representation, robotics, and embodied AI who study object affordances and action feasibility. Secondary stakeholders include developers of intelligent systems that need to reason about object use from physical properties.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D">
            <w:pPr>
              <w:spacing w:after="0" w:line="240" w:lineRule="auto"/>
              <w:rPr>
                <w:rFonts w:ascii="Times New Roman" w:cs="Times New Roman" w:eastAsia="Times New Roman" w:hAnsi="Times New Roman"/>
              </w:rPr>
            </w:pPr>
            <w:sdt>
              <w:sdtPr>
                <w:id w:val="-743756591"/>
                <w:tag w:val="goog_rdk_4"/>
              </w:sdtPr>
              <w:sdtContent>
                <w:commentRangeStart w:id="4"/>
              </w:sdtContent>
            </w:sdt>
            <w:r w:rsidDel="00000000" w:rsidR="00000000" w:rsidRPr="00000000">
              <w:rPr>
                <w:rFonts w:ascii="Times New Roman" w:cs="Times New Roman" w:eastAsia="Times New Roman" w:hAnsi="Times New Roman"/>
                <w:color w:val="000000"/>
                <w:sz w:val="20"/>
                <w:szCs w:val="20"/>
                <w:rtl w:val="0"/>
              </w:rPr>
              <w:t xml:space="preserve">Description</w:t>
            </w:r>
            <w:commentRangeEnd w:id="4"/>
            <w:r w:rsidDel="00000000" w:rsidR="00000000" w:rsidRPr="00000000">
              <w:commentReference w:id="4"/>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This use case considers a system that reasons about whether an everyday object can be used to perform a particular manipulation action in a kitchen environment. Given an object, an intended action, and relevant physical information, the ontology connects the object’s physical properties and parts with the requirements of the action. The system can then determine whether the action is feasible or infeasible and provide an explanation based on the properties that enable or block the action.</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Actors / Interfaces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Primary Actor – User/Researcher:</w:t>
            </w:r>
            <w:r w:rsidDel="00000000" w:rsidR="00000000" w:rsidRPr="00000000">
              <w:rPr>
                <w:rFonts w:ascii="Times New Roman" w:cs="Times New Roman" w:eastAsia="Times New Roman" w:hAnsi="Times New Roman"/>
                <w:color w:val="000000"/>
                <w:sz w:val="20"/>
                <w:szCs w:val="20"/>
                <w:rtl w:val="0"/>
              </w:rPr>
              <w:t xml:space="preserve"> Submits queries about whether a given object can support a particular action and receives the resulting judgment and explanation.</w:t>
            </w:r>
          </w:p>
          <w:p w:rsidR="00000000" w:rsidDel="00000000" w:rsidP="00000000" w:rsidRDefault="00000000" w:rsidRPr="00000000" w14:paraId="0000002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System – Ontology-Based Reasoning System:</w:t>
            </w:r>
            <w:r w:rsidDel="00000000" w:rsidR="00000000" w:rsidRPr="00000000">
              <w:rPr>
                <w:rFonts w:ascii="Times New Roman" w:cs="Times New Roman" w:eastAsia="Times New Roman" w:hAnsi="Times New Roman"/>
                <w:color w:val="000000"/>
                <w:sz w:val="20"/>
                <w:szCs w:val="20"/>
                <w:rtl w:val="0"/>
              </w:rPr>
              <w:t xml:space="preserve"> Matches the physical properties of the object against the requirements of the action and infers whether the action is feasible or infeasible.</w:t>
            </w:r>
          </w:p>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Secondary Actor / Interface – Knowledge Base/Data Sources:</w:t>
            </w:r>
            <w:r w:rsidDel="00000000" w:rsidR="00000000" w:rsidRPr="00000000">
              <w:rPr>
                <w:rFonts w:ascii="Times New Roman" w:cs="Times New Roman" w:eastAsia="Times New Roman" w:hAnsi="Times New Roman"/>
                <w:color w:val="000000"/>
                <w:sz w:val="20"/>
                <w:szCs w:val="20"/>
                <w:rtl w:val="0"/>
              </w:rPr>
              <w:t xml:space="preserve"> Supplies structured information about objects, their parts and physical properties, and action requirements.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Pre-conditions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Post-conditions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Triggers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Performance 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Assumptions </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Open Issues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F">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III. Usage Scenarios</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Provide at least two usage scenarios that flesh out the requirements outlined in the summary, including identification of requirements specific to any envisioned ontology or semantically-driven service or application.  Scenarios should be described as narrative, with supporting diagrams as appropriate.  In an Agile process, every user story relevant to the use case should be included and elaborated/rolled up into one or more usage scenarios, with a clear mapping from the user story to the scenario it is integrated in or mapped to.</w:t>
      </w:r>
      <w:r w:rsidDel="00000000" w:rsidR="00000000" w:rsidRPr="00000000">
        <w:rPr>
          <w:rtl w:val="0"/>
        </w:rPr>
      </w:r>
    </w:p>
    <w:p w:rsidR="00000000" w:rsidDel="00000000" w:rsidP="00000000" w:rsidRDefault="00000000" w:rsidRPr="00000000" w14:paraId="00000033">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IV. Basic Flow of Events</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u w:val="single"/>
          <w:rtl w:val="0"/>
        </w:rPr>
        <w:t xml:space="preserve">Narrative:</w:t>
      </w:r>
      <w:r w:rsidDel="00000000" w:rsidR="00000000" w:rsidRPr="00000000">
        <w:rPr>
          <w:rFonts w:ascii="Times New Roman" w:cs="Times New Roman" w:eastAsia="Times New Roman" w:hAnsi="Times New Roman"/>
          <w:i w:val="1"/>
          <w:iCs w:val="1"/>
          <w:color w:val="000000"/>
          <w:sz w:val="20"/>
          <w:szCs w:val="20"/>
          <w:rtl w:val="0"/>
        </w:rPr>
        <w:t xml:space="preserve">  Often referred to as the primary scenario or course of events, the basic flow defines the process/data/work flow that would be followed if the use case were to follow its main plot from start to end. Error states or alternate states that might occur as a matter of course in fulfilling the use case should be included under Alternate Flow of Events, below.  The basic flow should provide any reviewer a quick overview of how an implementation is intended to work.  A summary paragraph should be included that provides such an overview (which can include lists, conversational analysis that captures stakeholder interview information, etc.), followed by more detail expressed via the table structure. </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In cases where the user scenarios are sufficiently different from one another, it may be helpful to describe the flow for each scenario independently, and then merge them together in a composite flow.</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rPr>
      </w:pPr>
      <w:r w:rsidDel="00000000" w:rsidR="00000000" w:rsidRPr="00000000">
        <w:rPr>
          <w:rtl w:val="0"/>
        </w:rPr>
      </w:r>
    </w:p>
    <w:tbl>
      <w:tblPr>
        <w:tblStyle w:val="Table3"/>
        <w:tblW w:w="4831.0" w:type="dxa"/>
        <w:jc w:val="left"/>
        <w:tblLayout w:type="fixed"/>
        <w:tblLook w:val="0400"/>
      </w:tblPr>
      <w:tblGrid>
        <w:gridCol w:w="608"/>
        <w:gridCol w:w="1491"/>
        <w:gridCol w:w="1513"/>
        <w:gridCol w:w="1219"/>
        <w:tblGridChange w:id="0">
          <w:tblGrid>
            <w:gridCol w:w="608"/>
            <w:gridCol w:w="1491"/>
            <w:gridCol w:w="1513"/>
            <w:gridCol w:w="1219"/>
          </w:tblGrid>
        </w:tblGridChange>
      </w:tblGrid>
      <w:tr>
        <w:trPr>
          <w:cantSplit w:val="0"/>
          <w:tblHeader w:val="0"/>
        </w:trPr>
        <w:tc>
          <w:tcPr>
            <w:gridSpan w:val="4"/>
            <w:tcBorders>
              <w:top w:color="4f81bd" w:space="0" w:sz="8" w:val="single"/>
              <w:left w:color="4f81bd" w:space="0" w:sz="8" w:val="single"/>
              <w:right w:color="4f81bd" w:space="0" w:sz="8" w:val="single"/>
            </w:tcBorders>
            <w:shd w:fill="4f81bd" w:val="clear"/>
            <w:tcMar>
              <w:top w:w="0.0" w:type="dxa"/>
              <w:left w:w="115.0" w:type="dxa"/>
              <w:bottom w:w="0.0" w:type="dxa"/>
              <w:right w:w="115.0" w:type="dxa"/>
            </w:tcMar>
          </w:tcPr>
          <w:p w:rsidR="00000000" w:rsidDel="00000000" w:rsidP="00000000" w:rsidRDefault="00000000" w:rsidRPr="00000000" w14:paraId="000000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Basic / Normal Flow of Events</w:t>
            </w:r>
            <w:r w:rsidDel="00000000" w:rsidR="00000000" w:rsidRPr="00000000">
              <w:rPr>
                <w:rtl w:val="0"/>
              </w:rPr>
            </w:r>
          </w:p>
        </w:tc>
      </w:tr>
      <w:tr>
        <w:trPr>
          <w:cantSplit w:val="0"/>
          <w:tblHeader w:val="0"/>
        </w:trPr>
        <w:tc>
          <w:tcPr>
            <w:tcBorders>
              <w:right w:color="4f81bd" w:space="0" w:sz="8" w:val="single"/>
            </w:tcBorders>
            <w:tcMar>
              <w:top w:w="0.0" w:type="dxa"/>
              <w:left w:w="115.0" w:type="dxa"/>
              <w:bottom w:w="0.0" w:type="dxa"/>
              <w:right w:w="115.0" w:type="dxa"/>
            </w:tcMar>
          </w:tcPr>
          <w:p w:rsidR="00000000" w:rsidDel="00000000" w:rsidP="00000000" w:rsidRDefault="00000000" w:rsidRPr="00000000" w14:paraId="000000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(Person)</w:t>
            </w: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Borders>
              <w:left w:color="4f81bd" w:space="0" w:sz="8" w:val="single"/>
            </w:tcBorders>
            <w:tcMar>
              <w:top w:w="0.0" w:type="dxa"/>
              <w:left w:w="115.0" w:type="dxa"/>
              <w:bottom w:w="0.0" w:type="dxa"/>
              <w:right w:w="115.0" w:type="dxa"/>
            </w:tcMar>
          </w:tcPr>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blHeader w:val="0"/>
        </w:trPr>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right w:color="4f81bd" w:space="0" w:sz="8" w:val="single"/>
            </w:tcBorders>
            <w:tcMar>
              <w:top w:w="0.0" w:type="dxa"/>
              <w:left w:w="115.0" w:type="dxa"/>
              <w:bottom w:w="0.0" w:type="dxa"/>
              <w:right w:w="115.0" w:type="dxa"/>
            </w:tcMar>
          </w:tcPr>
          <w:p w:rsidR="00000000" w:rsidDel="00000000" w:rsidP="00000000" w:rsidRDefault="00000000" w:rsidRPr="00000000" w14:paraId="00000045">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6">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7">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tcBorders>
            <w:tcMar>
              <w:top w:w="0.0" w:type="dxa"/>
              <w:left w:w="115.0" w:type="dxa"/>
              <w:bottom w:w="0.0" w:type="dxa"/>
              <w:right w:w="115.0" w:type="dxa"/>
            </w:tcMar>
          </w:tcPr>
          <w:p w:rsidR="00000000" w:rsidDel="00000000" w:rsidP="00000000" w:rsidRDefault="00000000" w:rsidRPr="00000000" w14:paraId="00000048">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9">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A">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B">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C">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D">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tl w:val="0"/>
        </w:rPr>
      </w:r>
    </w:p>
    <w:p w:rsidR="00000000" w:rsidDel="00000000" w:rsidP="00000000" w:rsidRDefault="00000000" w:rsidRPr="00000000" w14:paraId="0000004F">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 Alternate Flow of Events</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u w:val="single"/>
          <w:rtl w:val="0"/>
        </w:rPr>
        <w:t xml:space="preserve">Narrative:</w:t>
      </w:r>
      <w:r w:rsidDel="00000000" w:rsidR="00000000" w:rsidRPr="00000000">
        <w:rPr>
          <w:rFonts w:ascii="Times New Roman" w:cs="Times New Roman" w:eastAsia="Times New Roman" w:hAnsi="Times New Roman"/>
          <w:i w:val="1"/>
          <w:iCs w:val="1"/>
          <w:color w:val="000000"/>
          <w:sz w:val="20"/>
          <w:szCs w:val="20"/>
          <w:rtl w:val="0"/>
        </w:rPr>
        <w:t xml:space="preserve">  The alternate flow defines the process/data/work flow that would be followed if the use case enters an error or alternate state from the basic flow defined, above.  A summary paragraph should be included that provides an overview of each alternate flow, followed by more detail expressed via the table structure. </w: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rPr>
      </w:pPr>
      <w:r w:rsidDel="00000000" w:rsidR="00000000" w:rsidRPr="00000000">
        <w:rPr>
          <w:rtl w:val="0"/>
        </w:rPr>
      </w:r>
    </w:p>
    <w:tbl>
      <w:tblPr>
        <w:tblStyle w:val="Table4"/>
        <w:tblW w:w="4831.0" w:type="dxa"/>
        <w:jc w:val="left"/>
        <w:tblLayout w:type="fixed"/>
        <w:tblLook w:val="0400"/>
      </w:tblPr>
      <w:tblGrid>
        <w:gridCol w:w="608"/>
        <w:gridCol w:w="1491"/>
        <w:gridCol w:w="1513"/>
        <w:gridCol w:w="1219"/>
        <w:tblGridChange w:id="0">
          <w:tblGrid>
            <w:gridCol w:w="608"/>
            <w:gridCol w:w="1491"/>
            <w:gridCol w:w="1513"/>
            <w:gridCol w:w="1219"/>
          </w:tblGrid>
        </w:tblGridChange>
      </w:tblGrid>
      <w:tr>
        <w:trPr>
          <w:cantSplit w:val="0"/>
          <w:tblHeader w:val="0"/>
        </w:trPr>
        <w:tc>
          <w:tcPr>
            <w:gridSpan w:val="4"/>
            <w:tcBorders>
              <w:top w:color="4f81bd" w:space="0" w:sz="8" w:val="single"/>
              <w:left w:color="4f81bd" w:space="0" w:sz="8" w:val="single"/>
              <w:right w:color="4f81bd" w:space="0" w:sz="8" w:val="single"/>
            </w:tcBorders>
            <w:shd w:fill="4f81bd" w:val="clear"/>
            <w:tcMar>
              <w:top w:w="0.0" w:type="dxa"/>
              <w:left w:w="115.0" w:type="dxa"/>
              <w:bottom w:w="0.0" w:type="dxa"/>
              <w:right w:w="115.0" w:type="dxa"/>
            </w:tcMar>
          </w:tcPr>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Alternate Flow of Events</w:t>
            </w:r>
            <w:r w:rsidDel="00000000" w:rsidR="00000000" w:rsidRPr="00000000">
              <w:rPr>
                <w:rtl w:val="0"/>
              </w:rPr>
            </w:r>
          </w:p>
        </w:tc>
      </w:tr>
      <w:tr>
        <w:trPr>
          <w:cantSplit w:val="0"/>
          <w:tblHeader w:val="0"/>
        </w:trPr>
        <w:tc>
          <w:tcPr>
            <w:tcBorders>
              <w:right w:color="4f81bd" w:space="0" w:sz="8" w:val="single"/>
            </w:tcBorders>
            <w:tcMar>
              <w:top w:w="0.0" w:type="dxa"/>
              <w:left w:w="115.0" w:type="dxa"/>
              <w:bottom w:w="0.0" w:type="dxa"/>
              <w:right w:w="115.0" w:type="dxa"/>
            </w:tcMar>
          </w:tcPr>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(Person)</w:t>
            </w: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Borders>
              <w:left w:color="4f81bd" w:space="0" w:sz="8" w:val="single"/>
            </w:tcBorders>
            <w:tcMar>
              <w:top w:w="0.0" w:type="dxa"/>
              <w:left w:w="115.0" w:type="dxa"/>
              <w:bottom w:w="0.0" w:type="dxa"/>
              <w:right w:w="115.0" w:type="dxa"/>
            </w:tcMar>
          </w:tcPr>
          <w:p w:rsidR="00000000" w:rsidDel="00000000" w:rsidP="00000000" w:rsidRDefault="00000000" w:rsidRPr="00000000" w14:paraId="000000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blHeader w:val="0"/>
        </w:trPr>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A">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B">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C">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D">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right w:color="4f81bd" w:space="0" w:sz="8" w:val="single"/>
            </w:tcBorders>
            <w:tcMar>
              <w:top w:w="0.0" w:type="dxa"/>
              <w:left w:w="115.0" w:type="dxa"/>
              <w:bottom w:w="0.0" w:type="dxa"/>
              <w:right w:w="115.0" w:type="dxa"/>
            </w:tcMar>
          </w:tcPr>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F">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tcBorders>
            <w:tcMar>
              <w:top w:w="0.0" w:type="dxa"/>
              <w:left w:w="115.0" w:type="dxa"/>
              <w:bottom w:w="0.0" w:type="dxa"/>
              <w:right w:w="115.0" w:type="dxa"/>
            </w:tcMar>
          </w:tcPr>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63">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rPr>
                <w:rtl w:val="0"/>
              </w:rPr>
            </w:r>
          </w:p>
        </w:tc>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6">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 Use Case and Activity Diagram(s)</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Provide the primary use case diagram, including actors, and a high-level activity diagram to show the flow of primary events that include/surround the use case.  Subordinate diagrams that map the flow for each usage scenario should be included as appropriate</w:t>
      </w:r>
      <w:r w:rsidDel="00000000" w:rsidR="00000000" w:rsidRPr="00000000">
        <w:rPr>
          <w:rtl w:val="0"/>
        </w:rPr>
      </w:r>
    </w:p>
    <w:p w:rsidR="00000000" w:rsidDel="00000000" w:rsidP="00000000" w:rsidRDefault="00000000" w:rsidRPr="00000000" w14:paraId="0000006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 Competency Questions</w:t>
      </w: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CQ1 — Feasibility judgment</w:t>
      </w:r>
    </w:p>
    <w:p w:rsidR="00000000" w:rsidDel="00000000" w:rsidP="00000000" w:rsidRDefault="00000000" w:rsidRPr="00000000" w14:paraId="0000006E">
      <w:pPr>
        <w:spacing w:after="0" w:line="240" w:lineRule="auto"/>
        <w:rPr>
          <w:rFonts w:ascii="Times New Roman" w:cs="Times New Roman" w:eastAsia="Times New Roman" w:hAnsi="Times New Roman"/>
          <w:b w:val="1"/>
          <w:bCs w:val="1"/>
          <w:i w:val="1"/>
          <w:iCs w:val="1"/>
          <w:sz w:val="15"/>
          <w:szCs w:val="15"/>
        </w:rPr>
      </w:pPr>
      <w:sdt>
        <w:sdtPr>
          <w:id w:val="-539460223"/>
          <w:tag w:val="goog_rdk_5"/>
        </w:sdtPr>
        <w:sdtContent>
          <w:commentRangeStart w:id="5"/>
        </w:sdtContent>
      </w:sdt>
      <w:r w:rsidDel="00000000" w:rsidR="00000000" w:rsidRPr="00000000">
        <w:rPr>
          <w:rFonts w:ascii="Times New Roman" w:cs="Times New Roman" w:eastAsia="Times New Roman" w:hAnsi="Times New Roman"/>
          <w:b w:val="1"/>
          <w:bCs w:val="1"/>
          <w:i w:val="1"/>
          <w:iCs w:val="1"/>
          <w:sz w:val="20"/>
          <w:szCs w:val="20"/>
          <w:rtl w:val="0"/>
        </w:rPr>
        <w:t xml:space="preserve">Can this object be used to perform this action, and why?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 Answer: A metal spoon can be used to stir a liquid because it has sufficient rigidity and a graspable elongated part that can transmit motion to the liquid.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Ontology Approach: The ontology represents classes such as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Object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d9d9d9"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ObjectPart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Action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PhysicalProperty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relations such as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hasPart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hasProperty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requiresProperty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a given object-action pair, the system retrieves the physical properties of the relevant object parts and compares them with the properties required by the action. For example, the rigidity, geometry, and graspability of a spoon can be matched against the requirements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Stirring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determine whether the action is feasible and explain why.</w:t>
      </w:r>
    </w:p>
    <w:p w:rsidR="00000000" w:rsidDel="00000000" w:rsidP="00000000" w:rsidRDefault="00000000" w:rsidRPr="00000000" w14:paraId="00000071">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CQ2 — Alternative object discovery</w:t>
        <w:br w:type="textWrapping"/>
      </w:r>
      <w:r w:rsidDel="00000000" w:rsidR="00000000" w:rsidRPr="00000000">
        <w:rPr>
          <w:rFonts w:ascii="Times New Roman" w:cs="Times New Roman" w:eastAsia="Times New Roman" w:hAnsi="Times New Roman"/>
          <w:b w:val="1"/>
          <w:bCs w:val="1"/>
          <w:i w:val="1"/>
          <w:iCs w:val="1"/>
          <w:sz w:val="20"/>
          <w:szCs w:val="20"/>
          <w:rtl w:val="0"/>
        </w:rPr>
        <w:t xml:space="preserve">Given an action, what </w:t>
      </w:r>
      <w:sdt>
        <w:sdtPr>
          <w:id w:val="-367475067"/>
          <w:tag w:val="goog_rdk_6"/>
        </w:sdtPr>
        <w:sdtContent>
          <w:commentRangeStart w:id="6"/>
        </w:sdtContent>
      </w:sdt>
      <w:r w:rsidDel="00000000" w:rsidR="00000000" w:rsidRPr="00000000">
        <w:rPr>
          <w:rFonts w:ascii="Times New Roman" w:cs="Times New Roman" w:eastAsia="Times New Roman" w:hAnsi="Times New Roman"/>
          <w:b w:val="1"/>
          <w:bCs w:val="1"/>
          <w:i w:val="1"/>
          <w:iCs w:val="1"/>
          <w:sz w:val="20"/>
          <w:szCs w:val="20"/>
          <w:rtl w:val="0"/>
        </w:rPr>
        <w:t xml:space="preserve">unconventional objects</w:t>
      </w:r>
      <w:commentRangeEnd w:id="6"/>
      <w:r w:rsidDel="00000000" w:rsidR="00000000" w:rsidRPr="00000000">
        <w:commentReference w:id="6"/>
      </w:r>
      <w:r w:rsidDel="00000000" w:rsidR="00000000" w:rsidRPr="00000000">
        <w:rPr>
          <w:rFonts w:ascii="Times New Roman" w:cs="Times New Roman" w:eastAsia="Times New Roman" w:hAnsi="Times New Roman"/>
          <w:b w:val="1"/>
          <w:bCs w:val="1"/>
          <w:i w:val="1"/>
          <w:iCs w:val="1"/>
          <w:sz w:val="20"/>
          <w:szCs w:val="20"/>
          <w:rtl w:val="0"/>
        </w:rPr>
        <w:t xml:space="preserve"> could satisfy its physical requirements?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 Answer: A rigid plastic card may be used to cut a soft food item if its edge is sufficiently thin and stiff, even though the object is not designed as a cutting tool.</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Ontology Approach: The ontology starts from 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Action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such as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Cutting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follows its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requiresProperty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relations to identify the required physical properties. It then retrieves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Object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ObjectPart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entities whose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d9d9d9" w:val="clear"/>
          <w:vertAlign w:val="baseline"/>
          <w:rtl w:val="0"/>
        </w:rPr>
        <w:t xml:space="preserve">hasProperty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values satisfy those requirements, regardless of their conventional function. In this way, a rigid plastic card can be </w:t>
      </w:r>
      <w:sdt>
        <w:sdtPr>
          <w:id w:val="1274389956"/>
          <w:tag w:val="goog_rdk_7"/>
        </w:sdtPr>
        <w:sdtContent>
          <w:commentRangeStart w:id="7"/>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inferred</w:t>
      </w:r>
      <w:commentRangeEnd w:id="7"/>
      <w:r w:rsidDel="00000000" w:rsidR="00000000" w:rsidRPr="00000000">
        <w:commentReference w:id="7"/>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a possible alternative tool when its thin, stiff edge satisfies the physical requirements for cutting a soft material.</w:t>
      </w:r>
    </w:p>
    <w:p w:rsidR="00000000" w:rsidDel="00000000" w:rsidP="00000000" w:rsidRDefault="00000000" w:rsidRPr="00000000" w14:paraId="00000075">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VIII. Resources</w:t>
      </w: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Availability: The initial kitchen-domain action vocabulary is available from EPIC-KITCHENS-100. However, the physical-property and affordance relations required for this use case are not directly provided by the dataset and are currently being generated and verified through ongoing experiments. These derived annotations will serve as the primary knowledge source for constructing the ontology.</w:t>
      </w:r>
    </w:p>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Knowledge Bases, Repositories, or other Data Sources</w:t>
      </w:r>
      <w:r w:rsidDel="00000000" w:rsidR="00000000" w:rsidRPr="00000000">
        <w:rPr>
          <w:rtl w:val="0"/>
        </w:rPr>
      </w:r>
    </w:p>
    <w:tbl>
      <w:tblPr>
        <w:tblStyle w:val="Table5"/>
        <w:tblW w:w="9350.0" w:type="dxa"/>
        <w:jc w:val="left"/>
        <w:tblLayout w:type="fixed"/>
        <w:tblLook w:val="0400"/>
      </w:tblPr>
      <w:tblGrid>
        <w:gridCol w:w="1129"/>
        <w:gridCol w:w="993"/>
        <w:gridCol w:w="1417"/>
        <w:gridCol w:w="1559"/>
        <w:gridCol w:w="1276"/>
        <w:gridCol w:w="1418"/>
        <w:gridCol w:w="1558"/>
        <w:tblGridChange w:id="0">
          <w:tblGrid>
            <w:gridCol w:w="1129"/>
            <w:gridCol w:w="993"/>
            <w:gridCol w:w="1417"/>
            <w:gridCol w:w="1559"/>
            <w:gridCol w:w="1276"/>
            <w:gridCol w:w="1418"/>
            <w:gridCol w:w="1558"/>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8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8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8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EPIC-KITCHENS-100</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Remote dataset / repository</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Egocentric kitchen videos with action annotations; verb and noun classes</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Provides the initial kitchen-domain action vocabulary and examples of human-object interactions. The action annotations are used to identify common manipulation actions to be represented in the ontology.</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EPIC-KITCHENS / University of Bristol and collaborators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8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EPIC-KITCHENS dataset website / annotation repository</w:t>
            </w:r>
          </w:p>
          <w:p w:rsidR="00000000" w:rsidDel="00000000" w:rsidP="00000000" w:rsidRDefault="00000000" w:rsidRPr="00000000" w14:paraId="0000008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Link (full dataset): </w:t>
            </w:r>
            <w:hyperlink r:id="rId9">
              <w:r w:rsidDel="00000000" w:rsidR="00000000" w:rsidRPr="00000000">
                <w:rPr>
                  <w:rFonts w:ascii="Times New Roman" w:cs="Times New Roman" w:eastAsia="Times New Roman" w:hAnsi="Times New Roman"/>
                  <w:color w:val="467886"/>
                  <w:sz w:val="20"/>
                  <w:szCs w:val="20"/>
                  <w:u w:val="single"/>
                  <w:rtl w:val="0"/>
                </w:rPr>
                <w:t xml:space="preserve">https://epic-kitchens.github.io/</w:t>
              </w:r>
            </w:hyperlink>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Fonts w:ascii="Times New Roman" w:cs="Times New Roman" w:eastAsia="Times New Roman" w:hAnsi="Times New Roman"/>
                <w:color w:val="000000"/>
                <w:sz w:val="20"/>
                <w:szCs w:val="20"/>
                <w:rtl w:val="0"/>
              </w:rPr>
              <w:t xml:space="preserve">Link (annotation dataset): </w:t>
            </w:r>
            <w:hyperlink r:id="rId10">
              <w:r w:rsidDel="00000000" w:rsidR="00000000" w:rsidRPr="00000000">
                <w:rPr>
                  <w:rFonts w:ascii="Times New Roman" w:cs="Times New Roman" w:eastAsia="Times New Roman" w:hAnsi="Times New Roman"/>
                  <w:color w:val="467886"/>
                  <w:sz w:val="20"/>
                  <w:szCs w:val="20"/>
                  <w:u w:val="single"/>
                  <w:rtl w:val="0"/>
                </w:rPr>
                <w:t xml:space="preserve">https://github.com/epic-kitchens/epic-kitchens-100-annotations</w:t>
              </w:r>
            </w:hyperlink>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Publicly available for research use; Required for defining the initial kitchen action domain</w:t>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Physical-Property and Affordance Annotations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annotations linking actions, objects, object parts, physical properties, action requirements, and feasible/infeasible outcomes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the physical-property and affordance relations needed by the ontology. These annotations are generated and verified through ongoing experiments rather than provided directly by EPIC-KITCHENS.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Generated from the ongoing affordance-reasoning experiments using kitchen-domain actions derived from EPIC-KITCHENS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0"/>
                <w:szCs w:val="20"/>
              </w:rPr>
            </w:pPr>
            <w:sdt>
              <w:sdtPr>
                <w:id w:val="1749295575"/>
                <w:tag w:val="goog_rdk_8"/>
              </w:sdtPr>
              <w:sdtContent>
                <w:commentRangeStart w:id="8"/>
              </w:sdtContent>
            </w:sdt>
            <w:r w:rsidDel="00000000" w:rsidR="00000000" w:rsidRPr="00000000">
              <w:rPr>
                <w:rFonts w:ascii="Times New Roman" w:cs="Times New Roman" w:eastAsia="Times New Roman" w:hAnsi="Times New Roman"/>
                <w:sz w:val="20"/>
                <w:szCs w:val="20"/>
                <w:rtl w:val="0"/>
              </w:rPr>
              <w:t xml:space="preserve">Currently internal and under development; Required for constructing the physical-property and action-requirement portions of the ontology</w:t>
            </w:r>
          </w:p>
        </w:tc>
      </w:tr>
    </w:tbl>
    <w:p w:rsidR="00000000" w:rsidDel="00000000" w:rsidP="00000000" w:rsidRDefault="00000000" w:rsidRPr="00000000" w14:paraId="00000096">
      <w:pPr>
        <w:spacing w:after="240" w:line="240" w:lineRule="auto"/>
        <w:rPr>
          <w:rFonts w:ascii="Times New Roman" w:cs="Times New Roman" w:eastAsia="Times New Roman" w:hAnsi="Times New Roman"/>
        </w:rPr>
      </w:pP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External Ontologies, Vocabularies, or other Model Services</w:t>
      </w:r>
      <w:r w:rsidDel="00000000" w:rsidR="00000000" w:rsidRPr="00000000">
        <w:rPr>
          <w:rtl w:val="0"/>
        </w:rPr>
      </w:r>
    </w:p>
    <w:tbl>
      <w:tblPr>
        <w:tblStyle w:val="Table6"/>
        <w:tblW w:w="9350.0" w:type="dxa"/>
        <w:jc w:val="left"/>
        <w:tblLayout w:type="fixed"/>
        <w:tblLook w:val="0400"/>
      </w:tblPr>
      <w:tblGrid>
        <w:gridCol w:w="805"/>
        <w:gridCol w:w="818"/>
        <w:gridCol w:w="2200"/>
        <w:gridCol w:w="1275"/>
        <w:gridCol w:w="2127"/>
        <w:gridCol w:w="1208"/>
        <w:gridCol w:w="917"/>
        <w:tblGridChange w:id="0">
          <w:tblGrid>
            <w:gridCol w:w="805"/>
            <w:gridCol w:w="818"/>
            <w:gridCol w:w="2200"/>
            <w:gridCol w:w="1275"/>
            <w:gridCol w:w="2127"/>
            <w:gridCol w:w="1208"/>
            <w:gridCol w:w="9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9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9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Describes/Uses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WordNet</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English</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Provides word senses, synonym sets, and lexical-semantic relations for English nouns and verbs. It can support normalization and sense distinction for action and object terms used in the ontology.</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Princeton University</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A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Princeton WordNet</w:t>
            </w:r>
          </w:p>
          <w:p w:rsidR="00000000" w:rsidDel="00000000" w:rsidP="00000000" w:rsidRDefault="00000000" w:rsidRPr="00000000" w14:paraId="000000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w:t>
            </w:r>
            <w:hyperlink r:id="rId11">
              <w:r w:rsidDel="00000000" w:rsidR="00000000" w:rsidRPr="00000000">
                <w:rPr>
                  <w:rFonts w:ascii="Times New Roman" w:cs="Times New Roman" w:eastAsia="Times New Roman" w:hAnsi="Times New Roman"/>
                  <w:color w:val="467886"/>
                  <w:sz w:val="20"/>
                  <w:szCs w:val="20"/>
                  <w:u w:val="single"/>
                  <w:rtl w:val="0"/>
                </w:rPr>
                <w:t xml:space="preserve">https://wordnet.princeton.edu/</w:t>
              </w:r>
            </w:hyperlink>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Action and object terminology derived from EPIC-KITCHENS and the experimental annotations</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Freely available; Supporting / Optional</w:t>
            </w:r>
          </w:p>
        </w:tc>
      </w:tr>
      <w:tr>
        <w:trPr>
          <w:cantSplit w:val="0"/>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9">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A">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B">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C">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D">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E">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F">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Other Resources, Service, or Triggers </w:t>
      </w:r>
      <w:r w:rsidDel="00000000" w:rsidR="00000000" w:rsidRPr="00000000">
        <w:rPr>
          <w:rFonts w:ascii="Times New Roman" w:cs="Times New Roman" w:eastAsia="Times New Roman" w:hAnsi="Times New Roman"/>
          <w:i w:val="1"/>
          <w:iCs w:val="1"/>
          <w:color w:val="000000"/>
          <w:rtl w:val="0"/>
        </w:rPr>
        <w:t xml:space="preserve">(e.g., event notification services, application services, etc.)</w:t>
      </w:r>
      <w:r w:rsidDel="00000000" w:rsidR="00000000" w:rsidRPr="00000000">
        <w:rPr>
          <w:rtl w:val="0"/>
        </w:rPr>
      </w:r>
    </w:p>
    <w:tbl>
      <w:tblPr>
        <w:tblStyle w:val="Table7"/>
        <w:tblW w:w="9350.0" w:type="dxa"/>
        <w:jc w:val="left"/>
        <w:tblLayout w:type="fixed"/>
        <w:tblLook w:val="0400"/>
      </w:tblPr>
      <w:tblGrid>
        <w:gridCol w:w="1391"/>
        <w:gridCol w:w="621"/>
        <w:gridCol w:w="2243"/>
        <w:gridCol w:w="1215"/>
        <w:gridCol w:w="2748"/>
        <w:gridCol w:w="1132"/>
        <w:tblGridChange w:id="0">
          <w:tblGrid>
            <w:gridCol w:w="1391"/>
            <w:gridCol w:w="621"/>
            <w:gridCol w:w="2243"/>
            <w:gridCol w:w="1215"/>
            <w:gridCol w:w="2748"/>
            <w:gridCol w:w="1132"/>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B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B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B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B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B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(sensor or external service name)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9">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Include a description of the resource as well as availability, if applicable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Primary owner of the service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Application or service URL</w:t>
            </w:r>
            <w:r w:rsidDel="00000000" w:rsidR="00000000" w:rsidRPr="00000000">
              <w:rPr>
                <w:rFonts w:ascii="Times New Roman" w:cs="Times New Roman" w:eastAsia="Times New Roman" w:hAnsi="Times New Roman"/>
                <w:i w:val="1"/>
                <w:iCs w:val="1"/>
                <w:color w:val="000000"/>
                <w:sz w:val="18"/>
                <w:szCs w:val="18"/>
                <w:rtl w:val="0"/>
              </w:rPr>
              <w:t xml:space="preserve">; if subscription based, include subscription and any subscription owner</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BD">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BE">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BF">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0">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1">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2">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3">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4">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IX. References and Bibliography</w:t>
      </w: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List all reference documents – policy documents, regulations, standards, de-facto standards, glossaries, dictionaries and thesauri, taxonomies, and any other reference materials considered relevant to the use case</w:t>
      </w:r>
      <w:r w:rsidDel="00000000" w:rsidR="00000000" w:rsidRPr="00000000">
        <w:rPr>
          <w:rtl w:val="0"/>
        </w:rPr>
      </w:r>
    </w:p>
    <w:p w:rsidR="00000000" w:rsidDel="00000000" w:rsidP="00000000" w:rsidRDefault="00000000" w:rsidRPr="00000000" w14:paraId="000000C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X. Notes</w:t>
      </w: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There is always some piece of information that is required that has no other place to go. This is the place for that information.</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LLM Use Statement:</w:t>
      </w:r>
    </w:p>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used ChatGPT (GPT-5.6 Sol) to help revise the English wording and organization of this document. All substantive content and ontology design decisions are my own.</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Villa" w:id="3" w:date="2026-09-11T12:46:14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kind of physical properties will you be modeling? Molecular composition? Weight/mass? Human edibility? You may want to carve out specific properties that you know you will/not include in the ontology, even if some of them are unknown right now.</w:t>
      </w:r>
    </w:p>
  </w:comment>
  <w:comment w:author="Danielle Villa" w:id="5" w:date="2026-09-11T13:27:40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these questions more specific. Your question could be: Can a metal spoon be used to stir a liquid? Answer: Yes, because ...</w:t>
      </w:r>
    </w:p>
  </w:comment>
  <w:comment w:author="Danielle Villa" w:id="8" w:date="2026-09-11T13:29:48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this be ready and available for use during the class?</w:t>
      </w:r>
    </w:p>
  </w:comment>
  <w:comment w:author="Danielle Villa" w:id="4" w:date="2026-09-11T12:47:49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to see this expanded a bit</w:t>
      </w:r>
    </w:p>
  </w:comment>
  <w:comment w:author="Danielle Villa" w:id="6" w:date="2026-09-11T13:29:02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plan on defining 'unconventional objects' for a given scenario? It might be better to ask for all objects that could accomplish a task based on a set of physical properties.</w:t>
      </w:r>
    </w:p>
  </w:comment>
  <w:comment w:author="Danielle Villa" w:id="7" w:date="2026-09-10T17:03:58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it being inferred? What properties/restrictions are being used to make that inference? Make this information more explicit for both CQs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points</w:t>
      </w:r>
    </w:p>
  </w:comment>
  <w:comment w:author="Danielle Villa" w:id="0" w:date="2026-09-10T16:58:19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1/1; Goal 1/1 (clear and dense); Reqs&amp;Scope 1.3/1.5 (could be more specific about concrete constraints); Stakeholders&amp;Actors 0.5/0.5 (real content present: primary researchers in KR/robotics/AI, secondary developers); CQs 2/2; Answers 1/1; Ontology approach 2.5/3 (good classes Object/ObjectPart/Action/PhysicalProperty and relations hasPart/hasProperty/requiresProperty but could be more explicit about inference mechanisms e.g. formal restrictions, cardinalities, subclass hierarchies); Resources 1/1; Availability 1/1; Consistency 0.5/0.5; Completeness 0.5/0.5. Total 11.3/12</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use case with clear ontology classes and properties. Good resource documentation with availability statements.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Agentic TA</w:t>
      </w:r>
    </w:p>
  </w:comment>
  <w:comment w:author="Danielle Villa" w:id="1" w:date="2026-09-10T17:01:48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scope is very broad with few specific requirements, it fulfills the requirements for assignment 1.</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later comments.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Score: 11.5/12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Danielle</w:t>
      </w:r>
    </w:p>
  </w:comment>
  <w:comment w:author="Danielle Villa" w:id="2" w:date="2026-09-11T13:33:00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 thorough reading of the use case, I think this is a solid idea. You may need to scope down, since the potential for all physical properties and actions is very broad. I recommend defining a small set of actions, objects, and properties that you hope to model. If you can convince others to join you on this, I could see this becoming a work of interest to the embodied AI community.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1" w15:done="0"/>
  <w15:commentEx w15:paraId="000000D2" w15:done="0"/>
  <w15:commentEx w15:paraId="000000D3" w15:done="0"/>
  <w15:commentEx w15:paraId="000000D4" w15:done="0"/>
  <w15:commentEx w15:paraId="000000D5" w15:done="0"/>
  <w15:commentEx w15:paraId="000000D7" w15:done="0"/>
  <w15:commentEx w15:paraId="000000DC" w15:done="0"/>
  <w15:commentEx w15:paraId="000000E0" w15:paraIdParent="000000DC" w15:done="0"/>
  <w15:commentEx w15:paraId="000000E1" w15:paraIdParent="000000D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tang"/>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9739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9739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9739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9739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9739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9739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9739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9739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9739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9739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9739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9739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9739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9739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9739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97395"/>
    <w:rPr>
      <w:i w:val="1"/>
      <w:iCs w:val="1"/>
      <w:color w:val="404040" w:themeColor="text1" w:themeTint="0000BF"/>
    </w:rPr>
  </w:style>
  <w:style w:type="paragraph" w:styleId="ListParagraph">
    <w:name w:val="List Paragraph"/>
    <w:basedOn w:val="Normal"/>
    <w:uiPriority w:val="34"/>
    <w:qFormat w:val="1"/>
    <w:rsid w:val="00897395"/>
    <w:pPr>
      <w:ind w:left="720"/>
      <w:contextualSpacing w:val="1"/>
    </w:pPr>
  </w:style>
  <w:style w:type="character" w:styleId="IntenseEmphasis">
    <w:name w:val="Intense Emphasis"/>
    <w:basedOn w:val="DefaultParagraphFont"/>
    <w:uiPriority w:val="21"/>
    <w:qFormat w:val="1"/>
    <w:rsid w:val="00897395"/>
    <w:rPr>
      <w:i w:val="1"/>
      <w:iCs w:val="1"/>
      <w:color w:val="0f4761" w:themeColor="accent1" w:themeShade="0000BF"/>
    </w:rPr>
  </w:style>
  <w:style w:type="paragraph" w:styleId="IntenseQuote">
    <w:name w:val="Intense Quote"/>
    <w:basedOn w:val="Normal"/>
    <w:next w:val="Normal"/>
    <w:link w:val="IntenseQuoteChar"/>
    <w:uiPriority w:val="30"/>
    <w:qFormat w:val="1"/>
    <w:rsid w:val="0089739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97395"/>
    <w:rPr>
      <w:i w:val="1"/>
      <w:iCs w:val="1"/>
      <w:color w:val="0f4761" w:themeColor="accent1" w:themeShade="0000BF"/>
    </w:rPr>
  </w:style>
  <w:style w:type="character" w:styleId="IntenseReference">
    <w:name w:val="Intense Reference"/>
    <w:basedOn w:val="DefaultParagraphFont"/>
    <w:uiPriority w:val="32"/>
    <w:qFormat w:val="1"/>
    <w:rsid w:val="00897395"/>
    <w:rPr>
      <w:b w:val="1"/>
      <w:bCs w:val="1"/>
      <w:smallCaps w:val="1"/>
      <w:color w:val="0f4761" w:themeColor="accent1" w:themeShade="0000BF"/>
      <w:spacing w:val="5"/>
    </w:rPr>
  </w:style>
  <w:style w:type="paragraph" w:styleId="NormalWeb">
    <w:name w:val="Normal (Web)"/>
    <w:basedOn w:val="Normal"/>
    <w:uiPriority w:val="99"/>
    <w:semiHidden w:val="1"/>
    <w:unhideWhenUsed w:val="1"/>
    <w:rsid w:val="00897395"/>
    <w:pPr>
      <w:spacing w:after="100" w:afterAutospacing="1" w:before="100" w:beforeAutospacing="1" w:line="240" w:lineRule="auto"/>
    </w:pPr>
    <w:rPr>
      <w:rFonts w:ascii="Times New Roman" w:cs="Times New Roman" w:eastAsia="Times New Roman" w:hAnsi="Times New Roman"/>
      <w:kern w:val="0"/>
    </w:rPr>
  </w:style>
  <w:style w:type="character" w:styleId="Hyperlink">
    <w:name w:val="Hyperlink"/>
    <w:basedOn w:val="DefaultParagraphFont"/>
    <w:uiPriority w:val="99"/>
    <w:unhideWhenUsed w:val="1"/>
    <w:rsid w:val="0064172D"/>
    <w:rPr>
      <w:color w:val="467886" w:themeColor="hyperlink"/>
      <w:u w:val="single"/>
    </w:rPr>
  </w:style>
  <w:style w:type="character" w:styleId="UnresolvedMention">
    <w:name w:val="Unresolved Mention"/>
    <w:basedOn w:val="DefaultParagraphFont"/>
    <w:uiPriority w:val="99"/>
    <w:semiHidden w:val="1"/>
    <w:unhideWhenUsed w:val="1"/>
    <w:rsid w:val="0064172D"/>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ordnet.princeton.edu/" TargetMode="External"/><Relationship Id="rId10" Type="http://schemas.openxmlformats.org/officeDocument/2006/relationships/hyperlink" Target="https://github.com/epic-kitchens/epic-kitchens-100-annotations" TargetMode="External"/><Relationship Id="rId9" Type="http://schemas.openxmlformats.org/officeDocument/2006/relationships/hyperlink" Target="https://epic-kitchens.github.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QYNgV97SFQuX8Zcn6HkAJOh7A==">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2026-09-05T19:19:00Z</dcterms:created>
  <dc:creator>Park, Hyejin</dc:creator>
</cp:coreProperties>
</file>