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D611" w14:textId="77777777" w:rsidR="00AE174F" w:rsidRDefault="00000000">
      <w:pPr>
        <w:spacing w:after="40"/>
      </w:pPr>
      <w:r>
        <w:rPr>
          <w:b/>
          <w:sz w:val="28"/>
        </w:rPr>
        <w:t>Terminology Round 2 Report</w:t>
      </w:r>
    </w:p>
    <w:p w14:paraId="05774763" w14:textId="77777777" w:rsidR="00AE174F" w:rsidRDefault="00000000">
      <w:pPr>
        <w:spacing w:after="40"/>
      </w:pPr>
      <w:r>
        <w:rPr>
          <w:sz w:val="20"/>
        </w:rPr>
        <w:t>Team AgenticCapabilities  |  Ontology Engineering 2026, Assignment 4  |  September 26, 2026</w:t>
      </w:r>
    </w:p>
    <w:p w14:paraId="4BFA4215" w14:textId="77777777" w:rsidR="00AE174F" w:rsidRDefault="00000000">
      <w:pPr>
        <w:spacing w:after="40"/>
      </w:pPr>
      <w:r>
        <w:rPr>
          <w:sz w:val="20"/>
        </w:rPr>
        <w:t>Use case AC-001, Ontology-Guided Agentic Capabilities Orchestration (course project name: Agentic Tool and Skill Orchestration)</w:t>
      </w:r>
    </w:p>
    <w:p w14:paraId="5AC60468" w14:textId="77777777" w:rsidR="00AE174F" w:rsidRDefault="00000000">
      <w:pPr>
        <w:spacing w:after="160"/>
      </w:pPr>
      <w:r>
        <w:rPr>
          <w:sz w:val="20"/>
        </w:rPr>
        <w:t>Gia Oriana Santos (santog@rpi.edu), Barbara Kotlan (kotlab@rpi.edu), Jiaying (Michael) Wang (wangj63@rpi.edu), Jialin (Gary) Fang (fangj6@rpi.edu), Elioenai Lincon Guedes Alves (guedee@rpi.edu)</w:t>
      </w:r>
    </w:p>
    <w:p w14:paraId="79A3EF61" w14:textId="77777777" w:rsidR="00AE174F" w:rsidRDefault="00000000">
      <w:pPr>
        <w:keepNext/>
        <w:spacing w:before="200" w:after="80"/>
      </w:pPr>
      <w:r>
        <w:rPr>
          <w:b/>
          <w:sz w:val="24"/>
        </w:rPr>
        <w:t>1. Deliverables</w:t>
      </w:r>
    </w:p>
    <w:p w14:paraId="21236822" w14:textId="77777777" w:rsidR="00AE174F" w:rsidRDefault="00000000">
      <w:r>
        <w:t xml:space="preserve">This report accompanies the curated term list </w:t>
      </w:r>
      <w:r>
        <w:rPr>
          <w:b/>
        </w:rPr>
        <w:t>OE_4_TeamAgenticCapabilities_CuratedTermList.xlsx</w:t>
      </w:r>
      <w:r>
        <w:t xml:space="preserve">, which extends the round 1 file </w:t>
      </w:r>
      <w:r>
        <w:rPr>
          <w:b/>
        </w:rPr>
        <w:t>OE_4_TeamAgenticCapabilities_PreliminaryTermList.xlsx</w:t>
      </w:r>
      <w:r>
        <w:t xml:space="preserve"> with ISO 704-style definitions and annotations for the 52 prioritized terms. Both spreadsheets and this report are uploaded to the </w:t>
      </w:r>
      <w:r>
        <w:rPr>
          <w:b/>
        </w:rPr>
        <w:t>Terminology</w:t>
      </w:r>
      <w:r>
        <w:t xml:space="preserve"> folder of the project Google Drive (Team: Agentic Tool and Skill Orchestration) and linked from the term list page of the project website.</w:t>
      </w:r>
    </w:p>
    <w:p w14:paraId="665E989F" w14:textId="77777777" w:rsidR="00AE174F" w:rsidRDefault="00000000">
      <w:r>
        <w:t>The workbook keeps one tab per team member with the terms each of us extracted in round 1 (</w:t>
      </w:r>
      <w:r>
        <w:rPr>
          <w:b/>
        </w:rPr>
        <w:t>Gia, Barbara, Micheal, Gary, Lincon</w:t>
      </w:r>
      <w:r>
        <w:t xml:space="preserve">), a </w:t>
      </w:r>
      <w:r>
        <w:rPr>
          <w:b/>
        </w:rPr>
        <w:t>Sources</w:t>
      </w:r>
      <w:r>
        <w:t xml:space="preserve"> tab that records every reference and how a language model was used with it, and the merged </w:t>
      </w:r>
      <w:r>
        <w:rPr>
          <w:b/>
        </w:rPr>
        <w:t>Prioritized List</w:t>
      </w:r>
      <w:r>
        <w:t xml:space="preserve"> tab. The prioritized list follows the course template: concept, context, preferred and alternate labels, abbreviation, synonyms, identifier, definition, concept source, label sources, definition source, how the definition was adapted, scope, explanatory and usage notes, example, dependencies, parent and equivalent concepts, a literature quotation and the full reference. Definitions are written as a genus with delimiting characteristics, not as full sentences; the parent concept column names the genus where one exists in the list.</w:t>
      </w:r>
    </w:p>
    <w:p w14:paraId="5611F569" w14:textId="77777777" w:rsidR="00AE174F" w:rsidRDefault="00000000">
      <w:pPr>
        <w:keepNext/>
        <w:spacing w:before="200" w:after="80"/>
      </w:pPr>
      <w:r>
        <w:rPr>
          <w:b/>
          <w:sz w:val="24"/>
        </w:rPr>
        <w:t>2. Who created each row</w:t>
      </w:r>
    </w:p>
    <w:p w14:paraId="0A009B55" w14:textId="77777777" w:rsidR="00AE174F" w:rsidRDefault="00000000">
      <w:r>
        <w:t>Column B (</w:t>
      </w:r>
      <w:r>
        <w:rPr>
          <w:b/>
        </w:rPr>
        <w:t>name</w:t>
      </w:r>
      <w:r>
        <w:t>) of the Prioritized List records who extracted each term in round 1. The round 2 definitions and notes were divided by row range, as listed below; column AE (</w:t>
      </w:r>
      <w:r>
        <w:rPr>
          <w:b/>
        </w:rPr>
        <w:t>Definition by</w:t>
      </w:r>
      <w:r>
        <w:t>) repeats the assignment next to each row.</w:t>
      </w:r>
    </w:p>
    <w:tbl>
      <w:tblPr>
        <w:tblStyle w:val="TableGrid"/>
        <w:tblW w:w="0" w:type="auto"/>
        <w:jc w:val="center"/>
        <w:tblLook w:val="04A0" w:firstRow="1" w:lastRow="0" w:firstColumn="1" w:lastColumn="0" w:noHBand="0" w:noVBand="1"/>
      </w:tblPr>
      <w:tblGrid>
        <w:gridCol w:w="864"/>
        <w:gridCol w:w="3312"/>
        <w:gridCol w:w="1584"/>
        <w:gridCol w:w="3600"/>
      </w:tblGrid>
      <w:tr w:rsidR="00AE174F" w14:paraId="113BF4F4" w14:textId="77777777">
        <w:trPr>
          <w:jc w:val="center"/>
        </w:trPr>
        <w:tc>
          <w:tcPr>
            <w:tcW w:w="864" w:type="dxa"/>
            <w:shd w:val="clear" w:color="auto" w:fill="E7E6E6"/>
          </w:tcPr>
          <w:p w14:paraId="5453CBB8" w14:textId="77777777" w:rsidR="00AE174F" w:rsidRDefault="00000000">
            <w:r>
              <w:rPr>
                <w:b/>
                <w:sz w:val="18"/>
              </w:rPr>
              <w:t>Rows</w:t>
            </w:r>
          </w:p>
        </w:tc>
        <w:tc>
          <w:tcPr>
            <w:tcW w:w="3312" w:type="dxa"/>
            <w:shd w:val="clear" w:color="auto" w:fill="E7E6E6"/>
          </w:tcPr>
          <w:p w14:paraId="2DBB2265" w14:textId="77777777" w:rsidR="00AE174F" w:rsidRDefault="00000000">
            <w:r>
              <w:rPr>
                <w:b/>
                <w:sz w:val="18"/>
              </w:rPr>
              <w:t>Terms</w:t>
            </w:r>
          </w:p>
        </w:tc>
        <w:tc>
          <w:tcPr>
            <w:tcW w:w="1584" w:type="dxa"/>
            <w:shd w:val="clear" w:color="auto" w:fill="E7E6E6"/>
          </w:tcPr>
          <w:p w14:paraId="7F233A47" w14:textId="77777777" w:rsidR="00AE174F" w:rsidRDefault="00000000">
            <w:r>
              <w:rPr>
                <w:b/>
                <w:sz w:val="18"/>
              </w:rPr>
              <w:t>Definitions and notes (round 2)</w:t>
            </w:r>
          </w:p>
        </w:tc>
        <w:tc>
          <w:tcPr>
            <w:tcW w:w="3600" w:type="dxa"/>
            <w:shd w:val="clear" w:color="auto" w:fill="E7E6E6"/>
          </w:tcPr>
          <w:p w14:paraId="057FC1D6" w14:textId="77777777" w:rsidR="00AE174F" w:rsidRDefault="00000000">
            <w:r>
              <w:rPr>
                <w:b/>
                <w:sz w:val="18"/>
              </w:rPr>
              <w:t>Term extraction (round 1)</w:t>
            </w:r>
          </w:p>
        </w:tc>
      </w:tr>
      <w:tr w:rsidR="00AE174F" w14:paraId="79DAD975" w14:textId="77777777">
        <w:trPr>
          <w:jc w:val="center"/>
        </w:trPr>
        <w:tc>
          <w:tcPr>
            <w:tcW w:w="864" w:type="dxa"/>
          </w:tcPr>
          <w:p w14:paraId="4430EFAF" w14:textId="77777777" w:rsidR="00AE174F" w:rsidRDefault="00000000">
            <w:r>
              <w:rPr>
                <w:sz w:val="18"/>
              </w:rPr>
              <w:t>3-13</w:t>
            </w:r>
          </w:p>
        </w:tc>
        <w:tc>
          <w:tcPr>
            <w:tcW w:w="3312" w:type="dxa"/>
          </w:tcPr>
          <w:p w14:paraId="2467EB83" w14:textId="77777777" w:rsidR="00AE174F" w:rsidRDefault="00000000">
            <w:r>
              <w:rPr>
                <w:sz w:val="18"/>
              </w:rPr>
              <w:t>Capability, Information Requirement, Orchestration Plan, Candidate Orchestration Plan, Tool, Skill, Server, Tool Invocation, Skill Invocation, Input, Output</w:t>
            </w:r>
          </w:p>
        </w:tc>
        <w:tc>
          <w:tcPr>
            <w:tcW w:w="1584" w:type="dxa"/>
          </w:tcPr>
          <w:p w14:paraId="41C2B963" w14:textId="77777777" w:rsidR="00AE174F" w:rsidRDefault="00000000">
            <w:r>
              <w:rPr>
                <w:sz w:val="18"/>
              </w:rPr>
              <w:t>Lincon</w:t>
            </w:r>
          </w:p>
        </w:tc>
        <w:tc>
          <w:tcPr>
            <w:tcW w:w="3600" w:type="dxa"/>
          </w:tcPr>
          <w:p w14:paraId="664ED8AA" w14:textId="77777777" w:rsidR="00AE174F" w:rsidRDefault="00000000">
            <w:r>
              <w:rPr>
                <w:sz w:val="18"/>
              </w:rPr>
              <w:t>Gary (Capability, Input, Output), Lincon (Information Requirement, Orchestration Plan, Candidate Orchestration Plan, Tool Invocation, Skill Invocation), Barbara (Tool), Michael (Skill, Server)</w:t>
            </w:r>
          </w:p>
        </w:tc>
      </w:tr>
      <w:tr w:rsidR="00AE174F" w14:paraId="6A9F778B" w14:textId="77777777">
        <w:trPr>
          <w:jc w:val="center"/>
        </w:trPr>
        <w:tc>
          <w:tcPr>
            <w:tcW w:w="864" w:type="dxa"/>
          </w:tcPr>
          <w:p w14:paraId="5BD54654" w14:textId="77777777" w:rsidR="00AE174F" w:rsidRDefault="00000000">
            <w:r>
              <w:rPr>
                <w:sz w:val="18"/>
              </w:rPr>
              <w:t>14-20</w:t>
            </w:r>
          </w:p>
        </w:tc>
        <w:tc>
          <w:tcPr>
            <w:tcW w:w="3312" w:type="dxa"/>
          </w:tcPr>
          <w:p w14:paraId="1FF7E2DA" w14:textId="77777777" w:rsidR="00AE174F" w:rsidRDefault="00000000">
            <w:r>
              <w:rPr>
                <w:sz w:val="18"/>
              </w:rPr>
              <w:t>Information Artifact, Constraint, User Constraint, Execution Constraint, Precondition, MCP Tool, MCP Server</w:t>
            </w:r>
          </w:p>
        </w:tc>
        <w:tc>
          <w:tcPr>
            <w:tcW w:w="1584" w:type="dxa"/>
          </w:tcPr>
          <w:p w14:paraId="03C692FA" w14:textId="77777777" w:rsidR="00AE174F" w:rsidRDefault="00000000">
            <w:r>
              <w:rPr>
                <w:sz w:val="18"/>
              </w:rPr>
              <w:t>Gary</w:t>
            </w:r>
          </w:p>
        </w:tc>
        <w:tc>
          <w:tcPr>
            <w:tcW w:w="3600" w:type="dxa"/>
          </w:tcPr>
          <w:p w14:paraId="740122C3" w14:textId="77777777" w:rsidR="00AE174F" w:rsidRDefault="00000000">
            <w:r>
              <w:rPr>
                <w:sz w:val="18"/>
              </w:rPr>
              <w:t>Gia (Information Artifact, Execution Constraint, MCP Tool, MCP Server), Barbara (Constraint, Precondition), Lincon (User Constraint)</w:t>
            </w:r>
          </w:p>
        </w:tc>
      </w:tr>
      <w:tr w:rsidR="00AE174F" w14:paraId="3865B7D2" w14:textId="77777777">
        <w:trPr>
          <w:jc w:val="center"/>
        </w:trPr>
        <w:tc>
          <w:tcPr>
            <w:tcW w:w="864" w:type="dxa"/>
          </w:tcPr>
          <w:p w14:paraId="02B9EE22" w14:textId="77777777" w:rsidR="00AE174F" w:rsidRDefault="00000000">
            <w:r>
              <w:rPr>
                <w:sz w:val="18"/>
              </w:rPr>
              <w:t>21-32</w:t>
            </w:r>
          </w:p>
        </w:tc>
        <w:tc>
          <w:tcPr>
            <w:tcW w:w="3312" w:type="dxa"/>
          </w:tcPr>
          <w:p w14:paraId="31F151A3" w14:textId="77777777" w:rsidR="00AE174F" w:rsidRDefault="00000000">
            <w:r>
              <w:rPr>
                <w:sz w:val="18"/>
              </w:rPr>
              <w:t>External Tool, Executable Resource, Resource, Resource dependency, Required Input, Optional Input, Input Constraint, Parameter, Parameter Type, Output Type, next step, Start step</w:t>
            </w:r>
          </w:p>
        </w:tc>
        <w:tc>
          <w:tcPr>
            <w:tcW w:w="1584" w:type="dxa"/>
          </w:tcPr>
          <w:p w14:paraId="11D5B868" w14:textId="77777777" w:rsidR="00AE174F" w:rsidRDefault="00000000">
            <w:r>
              <w:rPr>
                <w:sz w:val="18"/>
              </w:rPr>
              <w:t>Michael</w:t>
            </w:r>
          </w:p>
        </w:tc>
        <w:tc>
          <w:tcPr>
            <w:tcW w:w="3600" w:type="dxa"/>
          </w:tcPr>
          <w:p w14:paraId="4F101E42" w14:textId="77777777" w:rsidR="00AE174F" w:rsidRDefault="00000000">
            <w:r>
              <w:rPr>
                <w:sz w:val="18"/>
              </w:rPr>
              <w:t>Gia (Executable Resource, Required Input, Optional Input, Input Constraint, Parameter, Parameter Type, Output Type), Lincon (External Tool), Gary (Resource), Michael (Resource dependency, next step, Start step)</w:t>
            </w:r>
          </w:p>
        </w:tc>
      </w:tr>
      <w:tr w:rsidR="00AE174F" w14:paraId="237AC163" w14:textId="77777777">
        <w:trPr>
          <w:jc w:val="center"/>
        </w:trPr>
        <w:tc>
          <w:tcPr>
            <w:tcW w:w="864" w:type="dxa"/>
          </w:tcPr>
          <w:p w14:paraId="3149D812" w14:textId="77777777" w:rsidR="00AE174F" w:rsidRDefault="00000000">
            <w:r>
              <w:rPr>
                <w:sz w:val="18"/>
              </w:rPr>
              <w:t>33-44</w:t>
            </w:r>
          </w:p>
        </w:tc>
        <w:tc>
          <w:tcPr>
            <w:tcW w:w="3312" w:type="dxa"/>
          </w:tcPr>
          <w:p w14:paraId="78F2E9C7" w14:textId="77777777" w:rsidR="00AE174F" w:rsidRDefault="00000000">
            <w:r>
              <w:rPr>
                <w:sz w:val="18"/>
              </w:rPr>
              <w:t>End step, Decision Criterion, Tool Cost, Token Cost, Latency, Trajectory, Execution trace, Intermediate Artifact, uses tool, Request, Goal, Prompt</w:t>
            </w:r>
          </w:p>
        </w:tc>
        <w:tc>
          <w:tcPr>
            <w:tcW w:w="1584" w:type="dxa"/>
          </w:tcPr>
          <w:p w14:paraId="19FF5CD3" w14:textId="77777777" w:rsidR="00AE174F" w:rsidRDefault="00000000">
            <w:r>
              <w:rPr>
                <w:sz w:val="18"/>
              </w:rPr>
              <w:t>Barbara</w:t>
            </w:r>
          </w:p>
        </w:tc>
        <w:tc>
          <w:tcPr>
            <w:tcW w:w="3600" w:type="dxa"/>
          </w:tcPr>
          <w:p w14:paraId="7498C2EC" w14:textId="77777777" w:rsidR="00AE174F" w:rsidRDefault="00000000">
            <w:r>
              <w:rPr>
                <w:sz w:val="18"/>
              </w:rPr>
              <w:t>Michael (End step, Execution trace, Prompt), Barbara (Decision Criterion, Goal), Gia (Tool Cost, Token Cost, Latency, Trajectory, Intermediate Artifact), Gary (uses tool), Lincon (Request)</w:t>
            </w:r>
          </w:p>
        </w:tc>
      </w:tr>
      <w:tr w:rsidR="00AE174F" w14:paraId="0ECF2218" w14:textId="77777777">
        <w:trPr>
          <w:jc w:val="center"/>
        </w:trPr>
        <w:tc>
          <w:tcPr>
            <w:tcW w:w="864" w:type="dxa"/>
          </w:tcPr>
          <w:p w14:paraId="3759AAF0" w14:textId="77777777" w:rsidR="00AE174F" w:rsidRDefault="00000000">
            <w:r>
              <w:rPr>
                <w:sz w:val="18"/>
              </w:rPr>
              <w:t>45-54</w:t>
            </w:r>
          </w:p>
        </w:tc>
        <w:tc>
          <w:tcPr>
            <w:tcW w:w="3312" w:type="dxa"/>
          </w:tcPr>
          <w:p w14:paraId="05FF86F8" w14:textId="77777777" w:rsidR="00AE174F" w:rsidRDefault="00000000">
            <w:r>
              <w:rPr>
                <w:sz w:val="18"/>
              </w:rPr>
              <w:t>Task, Answer, Information Access, Data Processing, Content Generation, System Interaction, Instructions, Reference Material, Script, Template</w:t>
            </w:r>
          </w:p>
        </w:tc>
        <w:tc>
          <w:tcPr>
            <w:tcW w:w="1584" w:type="dxa"/>
          </w:tcPr>
          <w:p w14:paraId="36E97A0A" w14:textId="77777777" w:rsidR="00AE174F" w:rsidRDefault="00000000">
            <w:r>
              <w:rPr>
                <w:sz w:val="18"/>
              </w:rPr>
              <w:t>Gia</w:t>
            </w:r>
          </w:p>
        </w:tc>
        <w:tc>
          <w:tcPr>
            <w:tcW w:w="3600" w:type="dxa"/>
          </w:tcPr>
          <w:p w14:paraId="35FB8FF9" w14:textId="77777777" w:rsidR="00AE174F" w:rsidRDefault="00000000">
            <w:r>
              <w:rPr>
                <w:sz w:val="18"/>
              </w:rPr>
              <w:t>Barbara (Task), Lincon (Answer), Gia (the eight capability-taxonomy and skill-resource terms)</w:t>
            </w:r>
          </w:p>
        </w:tc>
      </w:tr>
    </w:tbl>
    <w:p w14:paraId="3B5BB601" w14:textId="77777777" w:rsidR="00AE174F" w:rsidRDefault="00AE174F">
      <w:pPr>
        <w:spacing w:after="40"/>
      </w:pPr>
    </w:p>
    <w:p w14:paraId="4862228C" w14:textId="77777777" w:rsidR="00AE174F" w:rsidRDefault="00000000">
      <w:r>
        <w:rPr>
          <w:b/>
        </w:rPr>
        <w:t xml:space="preserve">Round 1 references by member. </w:t>
      </w:r>
      <w:r>
        <w:t>Gia: Mulang’ et al. [1] and SkillsBench [5], plus the use-case terms for which she located definition sources [10]-[15], [20]. Barbara: Xu et al. [6] and Huang et al. [7]. Michael: the AgentO paper [2] with the AgentO ontology file [3], and the Model Context Protocol specification [4]. Gary: the AgentO ontology release [3], OWL-S [8] and PROV-O [9]. Lincon: the use case document and its competency questions [17]. The NIST tool-use page [16] and the IBM AI Atlas Nexus ontology [21] were consulted to check coverage of the domain but were not used for extraction.</w:t>
      </w:r>
    </w:p>
    <w:p w14:paraId="77D43B0F" w14:textId="77777777" w:rsidR="00AE174F" w:rsidRDefault="00000000">
      <w:pPr>
        <w:keepNext/>
        <w:spacing w:before="200" w:after="80"/>
      </w:pPr>
      <w:r>
        <w:rPr>
          <w:b/>
          <w:sz w:val="24"/>
        </w:rPr>
        <w:t>3. References</w:t>
      </w:r>
    </w:p>
    <w:p w14:paraId="23EAA55D" w14:textId="77777777" w:rsidR="00AE174F" w:rsidRDefault="00000000">
      <w:pPr>
        <w:spacing w:after="80"/>
      </w:pPr>
      <w:r>
        <w:t>Numbers [1]-[16] are the same as in Section IX of the revised use case document, so citations in the spreadsheet, the use case and this report agree. [17]-[21] are sources used only for the terminology work.</w:t>
      </w:r>
    </w:p>
    <w:p w14:paraId="7BD69E73" w14:textId="77777777" w:rsidR="00AE174F" w:rsidRDefault="00000000">
      <w:pPr>
        <w:keepNext/>
        <w:spacing w:after="40"/>
      </w:pPr>
      <w:r>
        <w:rPr>
          <w:b/>
        </w:rPr>
        <w:t>3.1 Sources from which terms were extracted</w:t>
      </w:r>
    </w:p>
    <w:p w14:paraId="73898E6C" w14:textId="77777777" w:rsidR="00AE174F" w:rsidRDefault="00000000">
      <w:pPr>
        <w:spacing w:after="60"/>
        <w:ind w:left="432" w:hanging="432"/>
      </w:pPr>
      <w:r>
        <w:rPr>
          <w:sz w:val="20"/>
        </w:rPr>
        <w:t>[1] I. O. Mulang’, J. Thaller, T. Trivedi, L. Heling, and F. Sasaki, “Representing agentic tools in knowledge graphs for structure-aware tool discovery under tool overload,” in Proc. 2nd Workshop on Knowledge Graphs and Agentic Systems Interplay (NORA 2026), co-located with IJCAI-ECAI 2026, Bremen, Germany, 2026. [Online]. Available: https://openreview.net/forum?id=7MVoH9Y3mi</w:t>
      </w:r>
    </w:p>
    <w:p w14:paraId="7F29ADC1" w14:textId="77777777" w:rsidR="00AE174F" w:rsidRDefault="00000000">
      <w:pPr>
        <w:spacing w:after="60"/>
        <w:ind w:left="432" w:hanging="432"/>
      </w:pPr>
      <w:r>
        <w:rPr>
          <w:sz w:val="20"/>
        </w:rPr>
        <w:t>[2] A. Ekelhart, K. Kurniawan, F. J. Ekaputra, and E. Kiesling, “AgentO: An ontology for modeling agentic AI systems,” in The Semantic Web: 23rd European Semantic Web Conference, ESWC 2026, Proceedings, Part II, Lecture Notes in Computer Science, vol. 16550, M. Acosta et al., Eds. Cham, Switzerland: Springer, 2026, pp. 298–320, doi: 10.1007/978-3-032-25159-6_16. Page numbers cited in the spreadsheet refer to the 22-page author preprint linked from the ESWC 2026 accepted-papers page.</w:t>
      </w:r>
    </w:p>
    <w:p w14:paraId="7CFBD44C" w14:textId="77777777" w:rsidR="00AE174F" w:rsidRDefault="00000000">
      <w:pPr>
        <w:spacing w:after="60"/>
        <w:ind w:left="432" w:hanging="432"/>
      </w:pPr>
      <w:r>
        <w:rPr>
          <w:sz w:val="20"/>
        </w:rPr>
        <w:t>[3] K. Kurniawan and F. J. Ekaputra, “AgentO: An ontology for modeling agentic AI systems,” ontology release v0.2, Zenodo, Jan. 22, 2026, doi: 10.5281/zenodo.18342625. [Online]. Available: https://w3id.org/agentic-ai/onto</w:t>
      </w:r>
    </w:p>
    <w:p w14:paraId="640C6C4E" w14:textId="77777777" w:rsidR="00AE174F" w:rsidRDefault="00000000">
      <w:pPr>
        <w:spacing w:after="60"/>
        <w:ind w:left="432" w:hanging="432"/>
      </w:pPr>
      <w:r>
        <w:rPr>
          <w:sz w:val="20"/>
        </w:rPr>
        <w:t>[4] Model Context Protocol Project, “Model Context Protocol specification,” revision 2026-07-28, LF Projects, LLC, Jul. 28, 2026. [Online]. Available: https://modelcontextprotocol.io/specification/2026-07-28 (sections used: overview, architecture, base protocol, server features: tools, resources, prompts, discovery; client features: roots)</w:t>
      </w:r>
    </w:p>
    <w:p w14:paraId="4BA3E08D" w14:textId="77777777" w:rsidR="00AE174F" w:rsidRDefault="00000000">
      <w:pPr>
        <w:spacing w:after="60"/>
        <w:ind w:left="432" w:hanging="432"/>
      </w:pPr>
      <w:r>
        <w:rPr>
          <w:sz w:val="20"/>
        </w:rPr>
        <w:t>[5] X. Li, Y. Liu, W. Chen, B. You, Z. Di, Y. He, et al., “SkillsBench: Benchmarking how well agent skills work across diverse tasks,” arXiv:2602.12670, Feb. 2026. [Online]. Available: https://arxiv.org/abs/2602.12670</w:t>
      </w:r>
    </w:p>
    <w:p w14:paraId="68EA507F" w14:textId="77777777" w:rsidR="00AE174F" w:rsidRDefault="00000000">
      <w:pPr>
        <w:spacing w:after="60"/>
        <w:ind w:left="432" w:hanging="432"/>
      </w:pPr>
      <w:r>
        <w:rPr>
          <w:sz w:val="20"/>
        </w:rPr>
        <w:t>[6] H. Xu, C. Li, X. Ma, X. Ou, Z. Zhang, T. He, et al., “The evolution of tool use in LLM agents: From single-tool call to multi-tool orchestration,” arXiv:2603.22862, Mar. 2026. [Online]. Available: https://arxiv.org/abs/2603.22862</w:t>
      </w:r>
    </w:p>
    <w:p w14:paraId="001EF8B9" w14:textId="77777777" w:rsidR="00AE174F" w:rsidRDefault="00000000">
      <w:pPr>
        <w:spacing w:after="60"/>
        <w:ind w:left="432" w:hanging="432"/>
      </w:pPr>
      <w:r>
        <w:rPr>
          <w:sz w:val="20"/>
        </w:rPr>
        <w:t>[7] X. Huang, W. Liu, X. Chen, X. Wang, H. Wang, D. Lian, Y. Wang, R. Tang, and E. Chen, “Understanding the planning of LLM agents: A survey,” arXiv:2402.02716, Feb. 2024. [Online]. Available: https://arxiv.org/abs/2402.02716</w:t>
      </w:r>
    </w:p>
    <w:p w14:paraId="3F3889DA" w14:textId="77777777" w:rsidR="00AE174F" w:rsidRDefault="00000000">
      <w:pPr>
        <w:spacing w:after="60"/>
        <w:ind w:left="432" w:hanging="432"/>
      </w:pPr>
      <w:r>
        <w:rPr>
          <w:sz w:val="20"/>
        </w:rPr>
        <w:t>[8] D. Martin et al., “OWL-S: Semantic markup for web services,” W3C Member Submission, Nov. 22, 2004. [Online]. Available: https://www.w3.org/submissions/OWL-S/</w:t>
      </w:r>
    </w:p>
    <w:p w14:paraId="770D5652" w14:textId="77777777" w:rsidR="00AE174F" w:rsidRDefault="00000000">
      <w:pPr>
        <w:spacing w:after="60"/>
        <w:ind w:left="432" w:hanging="432"/>
      </w:pPr>
      <w:r>
        <w:rPr>
          <w:sz w:val="20"/>
        </w:rPr>
        <w:t>[9] T. Lebo, S. Sahoo, and D. McGuinness, Eds., “PROV-O: The PROV ontology,” W3C Recommendation, Apr. 30, 2013. [Online]. Available: https://www.w3.org/TR/prov-o/</w:t>
      </w:r>
    </w:p>
    <w:p w14:paraId="55B5861E" w14:textId="77777777" w:rsidR="00AE174F" w:rsidRDefault="00000000">
      <w:pPr>
        <w:spacing w:after="60"/>
        <w:ind w:left="432" w:hanging="432"/>
      </w:pPr>
      <w:r>
        <w:rPr>
          <w:sz w:val="20"/>
        </w:rPr>
        <w:t>[17] Team AgenticCapabilities, “Ontology-Guided Agentic Capabilities Orchestration (AC-001): use case,” OE_4_TeamAgenticCapabilities_UseCase_Clean.docx, CSCI 4340/6340, Rensselaer Polytechnic Institute, rev. Sep. 25, 2026.</w:t>
      </w:r>
    </w:p>
    <w:p w14:paraId="2FE71054" w14:textId="77777777" w:rsidR="00AE174F" w:rsidRDefault="00000000">
      <w:pPr>
        <w:keepNext/>
        <w:spacing w:after="40"/>
      </w:pPr>
      <w:r>
        <w:rPr>
          <w:b/>
        </w:rPr>
        <w:t>3.2 Sources used for definitions and annotations</w:t>
      </w:r>
    </w:p>
    <w:p w14:paraId="4E6A41C7" w14:textId="77777777" w:rsidR="00AE174F" w:rsidRDefault="00000000">
      <w:pPr>
        <w:spacing w:after="60"/>
        <w:ind w:left="432" w:hanging="432"/>
      </w:pPr>
      <w:r>
        <w:rPr>
          <w:sz w:val="20"/>
        </w:rPr>
        <w:t>[10] OBO Foundry, “Information Artifact Ontology (IAO),” 2020. [Online]. Available: http://purl.obolibrary.org/obo/iao.owl</w:t>
      </w:r>
    </w:p>
    <w:p w14:paraId="5D6A5246" w14:textId="77777777" w:rsidR="00AE174F" w:rsidRDefault="00000000">
      <w:pPr>
        <w:spacing w:after="60"/>
        <w:ind w:left="432" w:hanging="432"/>
      </w:pPr>
      <w:r>
        <w:rPr>
          <w:sz w:val="20"/>
        </w:rPr>
        <w:t>[11] Industrial Ontologies Foundry, “IOF ontologies, release 2025-02,” 2025. [Online]. Available: https://spec.industrialontologies.org/portal/release/202502/</w:t>
      </w:r>
    </w:p>
    <w:p w14:paraId="52E31F3F" w14:textId="77777777" w:rsidR="00AE174F" w:rsidRDefault="00000000">
      <w:pPr>
        <w:spacing w:after="60"/>
        <w:ind w:left="432" w:hanging="432"/>
      </w:pPr>
      <w:r>
        <w:rPr>
          <w:sz w:val="20"/>
        </w:rPr>
        <w:t>[12] R. Iannella and S. Villata, Eds., “ODRL information model 2.2,” W3C Recommendation, Feb. 15, 2018. [Online]. Available: https://www.w3.org/TR/odrl-model/</w:t>
      </w:r>
    </w:p>
    <w:p w14:paraId="6E32893A" w14:textId="77777777" w:rsidR="00AE174F" w:rsidRDefault="00000000">
      <w:pPr>
        <w:spacing w:after="60"/>
        <w:ind w:left="432" w:hanging="432"/>
      </w:pPr>
      <w:r>
        <w:rPr>
          <w:sz w:val="20"/>
        </w:rPr>
        <w:lastRenderedPageBreak/>
        <w:t>[13] M. Dumontier et al., “The Semanticscience Integrated Ontology (SIO) for biomedical research and knowledge discovery,” J. Biomed. Semantics, vol. 5, no. 1, art. no. 14, 2014, doi: 10.1186/2041-1480-5-14.</w:t>
      </w:r>
    </w:p>
    <w:p w14:paraId="23C77201" w14:textId="77777777" w:rsidR="00AE174F" w:rsidRDefault="00000000">
      <w:pPr>
        <w:spacing w:after="60"/>
        <w:ind w:left="432" w:hanging="432"/>
      </w:pPr>
      <w:r>
        <w:rPr>
          <w:sz w:val="20"/>
        </w:rPr>
        <w:t>[14] R. V. Guha, D. Brickley, and S. Macbeth, “Schema.org: Evolution of structured data on the Web,” Commun. ACM, vol. 59, no. 2, pp. 44–51, 2016, doi: 10.1145/2844544.</w:t>
      </w:r>
    </w:p>
    <w:p w14:paraId="356D54A0" w14:textId="77777777" w:rsidR="00AE174F" w:rsidRDefault="00000000">
      <w:pPr>
        <w:spacing w:after="60"/>
        <w:ind w:left="432" w:hanging="432"/>
      </w:pPr>
      <w:r>
        <w:rPr>
          <w:sz w:val="20"/>
        </w:rPr>
        <w:t>[15] F. Richter, F. Matteucci, P. Reimann, and K. Böhm, “Survey on information requirements on the Google Books Ngram Corpus,” Int. J. Digit. Humanit., vol. 7, no. 3, pp. 393–416, Dec. 2025, doi: 10.1007/s42803-025-00113-9.</w:t>
      </w:r>
    </w:p>
    <w:p w14:paraId="3E5443CF" w14:textId="77777777" w:rsidR="00AE174F" w:rsidRDefault="00000000">
      <w:pPr>
        <w:spacing w:after="60"/>
        <w:ind w:left="432" w:hanging="432"/>
      </w:pPr>
      <w:r>
        <w:rPr>
          <w:sz w:val="20"/>
        </w:rPr>
        <w:t>[16] National Institute of Standards and Technology, “Lessons learned from the consortium: Tool use in agent systems,” Aug. 5, 2025. [Online]. Available: https://www.nist.gov/news-events/news/2025/08/lessons-learned-consortium-tool-use-agent-systems</w:t>
      </w:r>
    </w:p>
    <w:p w14:paraId="41BA3331" w14:textId="77777777" w:rsidR="00AE174F" w:rsidRDefault="00000000">
      <w:pPr>
        <w:spacing w:after="60"/>
        <w:ind w:left="432" w:hanging="432"/>
      </w:pPr>
      <w:r>
        <w:rPr>
          <w:sz w:val="20"/>
        </w:rPr>
        <w:t>[18] JSON Schema, “JSON Schema Validation: A vocabulary for structural validation of JSON,” draft 2020-12. [Online]. Available: https://json-schema.org/draft/2020-12/json-schema-validation (sections 6.1.1 type and 6.5.3 required)</w:t>
      </w:r>
    </w:p>
    <w:p w14:paraId="1F4AB439" w14:textId="77777777" w:rsidR="00AE174F" w:rsidRDefault="00000000">
      <w:pPr>
        <w:spacing w:after="60"/>
        <w:ind w:left="432" w:hanging="432"/>
      </w:pPr>
      <w:r>
        <w:rPr>
          <w:sz w:val="20"/>
        </w:rPr>
        <w:t>[19] A2A Project, “Agent2Agent (A2A) protocol specification,” Linux Foundation. [Online]. Available: https://a2a-protocol.org/latest/specification/ (AgentSkill object)</w:t>
      </w:r>
    </w:p>
    <w:p w14:paraId="0FF0A4E2" w14:textId="77777777" w:rsidR="00AE174F" w:rsidRDefault="00000000">
      <w:pPr>
        <w:spacing w:after="60"/>
        <w:ind w:left="432" w:hanging="432"/>
      </w:pPr>
      <w:r>
        <w:rPr>
          <w:sz w:val="20"/>
        </w:rPr>
        <w:t>[20] ScienceDirect Topics, “Multiple-criteria decision analysis,” Elsevier. [Online]. Available: https://www.sciencedirect.com/topics/computer-science/multiple-criteria-decision-analysis</w:t>
      </w:r>
    </w:p>
    <w:p w14:paraId="1DF23218" w14:textId="77777777" w:rsidR="00AE174F" w:rsidRDefault="00000000">
      <w:pPr>
        <w:spacing w:after="60"/>
        <w:ind w:left="432" w:hanging="432"/>
      </w:pPr>
      <w:r>
        <w:rPr>
          <w:sz w:val="20"/>
        </w:rPr>
        <w:t>[21] IBM Research, “AI Atlas Nexus: AI risk ontology,” [Online]. Available: https://ibm.github.io/ai-atlas-nexus/ontology/</w:t>
      </w:r>
    </w:p>
    <w:p w14:paraId="6F787AD6" w14:textId="77777777" w:rsidR="00AE174F" w:rsidRDefault="00000000">
      <w:pPr>
        <w:spacing w:after="80"/>
      </w:pPr>
      <w:r>
        <w:t>Definitions for the AgentO, MCP, OWL-S and PROV-O terms were adapted from the same documents the terms were taken from ([2], [3], [4], [8], [9]).</w:t>
      </w:r>
    </w:p>
    <w:p w14:paraId="7C0D65D0" w14:textId="77777777" w:rsidR="00AE174F" w:rsidRDefault="00000000">
      <w:pPr>
        <w:keepNext/>
        <w:spacing w:after="40"/>
      </w:pPr>
      <w:r>
        <w:rPr>
          <w:b/>
        </w:rPr>
        <w:t>3.3 Abbreviations used in the source columns of the spreadsheet</w:t>
      </w:r>
    </w:p>
    <w:tbl>
      <w:tblPr>
        <w:tblStyle w:val="TableGrid"/>
        <w:tblW w:w="0" w:type="auto"/>
        <w:jc w:val="center"/>
        <w:tblLook w:val="04A0" w:firstRow="1" w:lastRow="0" w:firstColumn="1" w:lastColumn="0" w:noHBand="0" w:noVBand="1"/>
      </w:tblPr>
      <w:tblGrid>
        <w:gridCol w:w="3456"/>
        <w:gridCol w:w="5904"/>
      </w:tblGrid>
      <w:tr w:rsidR="00AE174F" w14:paraId="4371F444" w14:textId="77777777">
        <w:trPr>
          <w:jc w:val="center"/>
        </w:trPr>
        <w:tc>
          <w:tcPr>
            <w:tcW w:w="3456" w:type="dxa"/>
            <w:shd w:val="clear" w:color="auto" w:fill="E7E6E6"/>
          </w:tcPr>
          <w:p w14:paraId="2907E95B" w14:textId="77777777" w:rsidR="00AE174F" w:rsidRDefault="00000000">
            <w:r>
              <w:rPr>
                <w:b/>
                <w:sz w:val="18"/>
              </w:rPr>
              <w:t>Abbreviation in the sheet</w:t>
            </w:r>
          </w:p>
        </w:tc>
        <w:tc>
          <w:tcPr>
            <w:tcW w:w="5904" w:type="dxa"/>
            <w:shd w:val="clear" w:color="auto" w:fill="E7E6E6"/>
          </w:tcPr>
          <w:p w14:paraId="2F900739" w14:textId="77777777" w:rsidR="00AE174F" w:rsidRDefault="00000000">
            <w:r>
              <w:rPr>
                <w:b/>
                <w:sz w:val="18"/>
              </w:rPr>
              <w:t>Meaning</w:t>
            </w:r>
          </w:p>
        </w:tc>
      </w:tr>
      <w:tr w:rsidR="00AE174F" w14:paraId="7AB8061B" w14:textId="77777777">
        <w:trPr>
          <w:jc w:val="center"/>
        </w:trPr>
        <w:tc>
          <w:tcPr>
            <w:tcW w:w="3456" w:type="dxa"/>
          </w:tcPr>
          <w:p w14:paraId="05B4B763" w14:textId="77777777" w:rsidR="00AE174F" w:rsidRDefault="00000000">
            <w:r>
              <w:rPr>
                <w:sz w:val="18"/>
              </w:rPr>
              <w:t>[A], [B], [C]</w:t>
            </w:r>
          </w:p>
        </w:tc>
        <w:tc>
          <w:tcPr>
            <w:tcW w:w="5904" w:type="dxa"/>
          </w:tcPr>
          <w:p w14:paraId="00EC0CE9" w14:textId="77777777" w:rsidR="00AE174F" w:rsidRDefault="00000000">
            <w:r>
              <w:rPr>
                <w:sz w:val="18"/>
              </w:rPr>
              <w:t>AgentO paper [2] (page numbers of the author preprint); AgentO ontology v0.2 Turtle file [3]; MCP specification [4] (Michael’s rows)</w:t>
            </w:r>
          </w:p>
        </w:tc>
      </w:tr>
      <w:tr w:rsidR="00AE174F" w14:paraId="242722BC" w14:textId="77777777">
        <w:trPr>
          <w:jc w:val="center"/>
        </w:trPr>
        <w:tc>
          <w:tcPr>
            <w:tcW w:w="3456" w:type="dxa"/>
          </w:tcPr>
          <w:p w14:paraId="00CF343F" w14:textId="77777777" w:rsidR="00AE174F" w:rsidRDefault="00000000">
            <w:r>
              <w:rPr>
                <w:sz w:val="18"/>
              </w:rPr>
              <w:t>[D], [E], [F]</w:t>
            </w:r>
          </w:p>
        </w:tc>
        <w:tc>
          <w:tcPr>
            <w:tcW w:w="5904" w:type="dxa"/>
          </w:tcPr>
          <w:p w14:paraId="28140C43" w14:textId="77777777" w:rsidR="00AE174F" w:rsidRDefault="00000000">
            <w:r>
              <w:rPr>
                <w:sz w:val="18"/>
              </w:rPr>
              <w:t>Mulang’ et al. [1]; SkillsBench [5]; team use case document [17]</w:t>
            </w:r>
          </w:p>
        </w:tc>
      </w:tr>
      <w:tr w:rsidR="00AE174F" w14:paraId="5210CB07" w14:textId="77777777">
        <w:trPr>
          <w:jc w:val="center"/>
        </w:trPr>
        <w:tc>
          <w:tcPr>
            <w:tcW w:w="3456" w:type="dxa"/>
          </w:tcPr>
          <w:p w14:paraId="0C6C54B6" w14:textId="77777777" w:rsidR="00AE174F" w:rsidRDefault="00000000">
            <w:r>
              <w:rPr>
                <w:sz w:val="18"/>
              </w:rPr>
              <w:t>[G], [H], [I], [K], [L]</w:t>
            </w:r>
          </w:p>
        </w:tc>
        <w:tc>
          <w:tcPr>
            <w:tcW w:w="5904" w:type="dxa"/>
          </w:tcPr>
          <w:p w14:paraId="32FA941C" w14:textId="77777777" w:rsidR="00AE174F" w:rsidRDefault="00000000">
            <w:r>
              <w:rPr>
                <w:sz w:val="18"/>
              </w:rPr>
              <w:t>OWL-S [8]; PROV-O [9]; NIST tool-use page [16]; Huang et al. [7]; Xu et al. [6]</w:t>
            </w:r>
          </w:p>
        </w:tc>
      </w:tr>
      <w:tr w:rsidR="00AE174F" w14:paraId="0E285E3E" w14:textId="77777777">
        <w:trPr>
          <w:jc w:val="center"/>
        </w:trPr>
        <w:tc>
          <w:tcPr>
            <w:tcW w:w="3456" w:type="dxa"/>
          </w:tcPr>
          <w:p w14:paraId="6949AD5C" w14:textId="77777777" w:rsidR="00AE174F" w:rsidRDefault="00000000">
            <w:r>
              <w:rPr>
                <w:sz w:val="18"/>
              </w:rPr>
              <w:t>[1] AgentO, [2] OWL-S, [3] PROV-O (Gary’s tab)</w:t>
            </w:r>
          </w:p>
        </w:tc>
        <w:tc>
          <w:tcPr>
            <w:tcW w:w="5904" w:type="dxa"/>
          </w:tcPr>
          <w:p w14:paraId="4A8C9476" w14:textId="77777777" w:rsidR="00AE174F" w:rsidRDefault="00000000">
            <w:r>
              <w:rPr>
                <w:sz w:val="18"/>
              </w:rPr>
              <w:t>AgentO ontology release [3]; OWL-S [8]; PROV-O [9]</w:t>
            </w:r>
          </w:p>
        </w:tc>
      </w:tr>
      <w:tr w:rsidR="00AE174F" w14:paraId="51D47295" w14:textId="77777777">
        <w:trPr>
          <w:jc w:val="center"/>
        </w:trPr>
        <w:tc>
          <w:tcPr>
            <w:tcW w:w="3456" w:type="dxa"/>
          </w:tcPr>
          <w:p w14:paraId="3DB42F2A" w14:textId="77777777" w:rsidR="00AE174F" w:rsidRDefault="00000000">
            <w:r>
              <w:rPr>
                <w:sz w:val="18"/>
              </w:rPr>
              <w:t>MCP, MCP Tools Specification, MCP Architecture</w:t>
            </w:r>
          </w:p>
        </w:tc>
        <w:tc>
          <w:tcPr>
            <w:tcW w:w="5904" w:type="dxa"/>
          </w:tcPr>
          <w:p w14:paraId="44823267" w14:textId="77777777" w:rsidR="00AE174F" w:rsidRDefault="00000000">
            <w:r>
              <w:rPr>
                <w:sz w:val="18"/>
              </w:rPr>
              <w:t>Model Context Protocol specification [4], Server Features: Tools, and Architecture sections</w:t>
            </w:r>
          </w:p>
        </w:tc>
      </w:tr>
      <w:tr w:rsidR="00AE174F" w14:paraId="63163A10" w14:textId="77777777">
        <w:trPr>
          <w:jc w:val="center"/>
        </w:trPr>
        <w:tc>
          <w:tcPr>
            <w:tcW w:w="3456" w:type="dxa"/>
          </w:tcPr>
          <w:p w14:paraId="5E3C9DD0" w14:textId="77777777" w:rsidR="00AE174F" w:rsidRDefault="00000000">
            <w:r>
              <w:rPr>
                <w:sz w:val="18"/>
              </w:rPr>
              <w:t>A2A Protocol – AgentSkill</w:t>
            </w:r>
          </w:p>
        </w:tc>
        <w:tc>
          <w:tcPr>
            <w:tcW w:w="5904" w:type="dxa"/>
          </w:tcPr>
          <w:p w14:paraId="567F0CAD" w14:textId="77777777" w:rsidR="00AE174F" w:rsidRDefault="00000000">
            <w:r>
              <w:rPr>
                <w:sz w:val="18"/>
              </w:rPr>
              <w:t>Agent2Agent protocol specification [19], AgentSkill object</w:t>
            </w:r>
          </w:p>
        </w:tc>
      </w:tr>
      <w:tr w:rsidR="00AE174F" w14:paraId="6CC7284C" w14:textId="77777777">
        <w:trPr>
          <w:jc w:val="center"/>
        </w:trPr>
        <w:tc>
          <w:tcPr>
            <w:tcW w:w="3456" w:type="dxa"/>
          </w:tcPr>
          <w:p w14:paraId="66BE6342" w14:textId="77777777" w:rsidR="00AE174F" w:rsidRDefault="00000000">
            <w:r>
              <w:rPr>
                <w:sz w:val="18"/>
              </w:rPr>
              <w:t>IOF Core: plan specification</w:t>
            </w:r>
          </w:p>
        </w:tc>
        <w:tc>
          <w:tcPr>
            <w:tcW w:w="5904" w:type="dxa"/>
          </w:tcPr>
          <w:p w14:paraId="30F2C6F3" w14:textId="77777777" w:rsidR="00AE174F" w:rsidRDefault="00000000">
            <w:r>
              <w:rPr>
                <w:sz w:val="18"/>
              </w:rPr>
              <w:t>Industrial Ontologies Foundry Core ontology [11], class plan specification</w:t>
            </w:r>
          </w:p>
        </w:tc>
      </w:tr>
      <w:tr w:rsidR="00AE174F" w14:paraId="1BE87B7F" w14:textId="77777777">
        <w:trPr>
          <w:jc w:val="center"/>
        </w:trPr>
        <w:tc>
          <w:tcPr>
            <w:tcW w:w="3456" w:type="dxa"/>
          </w:tcPr>
          <w:p w14:paraId="2F61EB83" w14:textId="77777777" w:rsidR="00AE174F" w:rsidRDefault="00000000">
            <w:r>
              <w:rPr>
                <w:sz w:val="18"/>
              </w:rPr>
              <w:t>IAO, SIO, ODRL, Schema.org</w:t>
            </w:r>
          </w:p>
        </w:tc>
        <w:tc>
          <w:tcPr>
            <w:tcW w:w="5904" w:type="dxa"/>
          </w:tcPr>
          <w:p w14:paraId="5A94DCD3" w14:textId="77777777" w:rsidR="00AE174F" w:rsidRDefault="00000000">
            <w:r>
              <w:rPr>
                <w:sz w:val="18"/>
              </w:rPr>
              <w:t>References [10], [13], [12], [14]</w:t>
            </w:r>
          </w:p>
        </w:tc>
      </w:tr>
      <w:tr w:rsidR="00AE174F" w14:paraId="2097D050" w14:textId="77777777">
        <w:trPr>
          <w:jc w:val="center"/>
        </w:trPr>
        <w:tc>
          <w:tcPr>
            <w:tcW w:w="3456" w:type="dxa"/>
          </w:tcPr>
          <w:p w14:paraId="40D67FBE" w14:textId="77777777" w:rsidR="00AE174F" w:rsidRDefault="00000000">
            <w:r>
              <w:rPr>
                <w:sz w:val="18"/>
              </w:rPr>
              <w:t>Richter et al. (2025)</w:t>
            </w:r>
          </w:p>
        </w:tc>
        <w:tc>
          <w:tcPr>
            <w:tcW w:w="5904" w:type="dxa"/>
          </w:tcPr>
          <w:p w14:paraId="7FEF763C" w14:textId="77777777" w:rsidR="00AE174F" w:rsidRDefault="00000000">
            <w:r>
              <w:rPr>
                <w:sz w:val="18"/>
              </w:rPr>
              <w:t>Reference [15]</w:t>
            </w:r>
          </w:p>
        </w:tc>
      </w:tr>
      <w:tr w:rsidR="00AE174F" w14:paraId="5CCA1202" w14:textId="77777777">
        <w:trPr>
          <w:jc w:val="center"/>
        </w:trPr>
        <w:tc>
          <w:tcPr>
            <w:tcW w:w="3456" w:type="dxa"/>
          </w:tcPr>
          <w:p w14:paraId="7B1F51EB" w14:textId="77777777" w:rsidR="00AE174F" w:rsidRDefault="00000000">
            <w:r>
              <w:rPr>
                <w:sz w:val="18"/>
              </w:rPr>
              <w:t>JSON Schema Validation 2020-12</w:t>
            </w:r>
          </w:p>
        </w:tc>
        <w:tc>
          <w:tcPr>
            <w:tcW w:w="5904" w:type="dxa"/>
          </w:tcPr>
          <w:p w14:paraId="7B96A1CC" w14:textId="77777777" w:rsidR="00AE174F" w:rsidRDefault="00000000">
            <w:r>
              <w:rPr>
                <w:sz w:val="18"/>
              </w:rPr>
              <w:t>Reference [18]</w:t>
            </w:r>
          </w:p>
        </w:tc>
      </w:tr>
      <w:tr w:rsidR="00AE174F" w14:paraId="4607B95A" w14:textId="77777777">
        <w:trPr>
          <w:jc w:val="center"/>
        </w:trPr>
        <w:tc>
          <w:tcPr>
            <w:tcW w:w="3456" w:type="dxa"/>
          </w:tcPr>
          <w:p w14:paraId="4F21BD27" w14:textId="77777777" w:rsidR="00AE174F" w:rsidRDefault="00000000">
            <w:r>
              <w:rPr>
                <w:sz w:val="18"/>
              </w:rPr>
              <w:t>Project terminology, Use Case, CQ n</w:t>
            </w:r>
          </w:p>
        </w:tc>
        <w:tc>
          <w:tcPr>
            <w:tcW w:w="5904" w:type="dxa"/>
          </w:tcPr>
          <w:p w14:paraId="5C62669F" w14:textId="77777777" w:rsidR="00AE174F" w:rsidRDefault="00000000">
            <w:r>
              <w:rPr>
                <w:sz w:val="18"/>
              </w:rPr>
              <w:t>Team use case document [17]; CQ n refers to competency question n in that document</w:t>
            </w:r>
          </w:p>
        </w:tc>
      </w:tr>
    </w:tbl>
    <w:p w14:paraId="315E9880" w14:textId="77777777" w:rsidR="00AE174F" w:rsidRDefault="00AE174F">
      <w:pPr>
        <w:spacing w:after="40"/>
      </w:pPr>
    </w:p>
    <w:p w14:paraId="150D2212" w14:textId="77777777" w:rsidR="00AE174F" w:rsidRDefault="00000000">
      <w:pPr>
        <w:keepNext/>
        <w:spacing w:before="200" w:after="80"/>
      </w:pPr>
      <w:r>
        <w:rPr>
          <w:b/>
          <w:sz w:val="24"/>
        </w:rPr>
        <w:t>4. Working as a team</w:t>
      </w:r>
    </w:p>
    <w:p w14:paraId="33E0CF87" w14:textId="4DDC9B17" w:rsidR="00AE174F" w:rsidRDefault="00000000">
      <w:r>
        <w:t xml:space="preserve">Dividing the work was the easy part; making the pieces fit together was the hard part. In round 1 each of us extracted terms from our own references with our own language-model workflow (ChatGPT Desktop for three members, Claude in Claude Code for one, ChatGPT with the ontology files for another), which gave us more than 250 raw terms in one afternoon. Merging them was harder: a spreadsheet function removed the exact duplicates, but deciding on one call which near-duplicates to keep, which spelling to </w:t>
      </w:r>
      <w:r>
        <w:lastRenderedPageBreak/>
        <w:t xml:space="preserve">prefer and which terms the use case actually needs took most of the meeting, and it produced the 52-term prioritized list. For round 2 we split the list by row range over the team chat and worked in parallel on downloaded copies of the same workbook, so somebody had to merge five files back into one at the end. </w:t>
      </w:r>
      <w:r w:rsidR="0012740D">
        <w:t>T</w:t>
      </w:r>
      <w:r>
        <w:t>he use case revision, the reading summaries and both terminology rounds all fell in the same week</w:t>
      </w:r>
      <w:r w:rsidR="0012740D">
        <w:t xml:space="preserve"> </w:t>
      </w:r>
      <w:proofErr w:type="gramStart"/>
      <w:r w:rsidR="0012740D">
        <w:t>slow</w:t>
      </w:r>
      <w:proofErr w:type="gramEnd"/>
      <w:r w:rsidR="0012740D">
        <w:t xml:space="preserve"> us down quite a lot</w:t>
      </w:r>
      <w:r>
        <w:t>. What helped was keeping a single merge target, quoting the source passage next to every term so a teammate could check it without opening the paper, and a short AI-use note per person that the report could be assembled from. The result is a list that five people can read the same way</w:t>
      </w:r>
      <w:r w:rsidR="0012740D">
        <w:t>.</w:t>
      </w:r>
    </w:p>
    <w:p w14:paraId="5286305B" w14:textId="77777777" w:rsidR="00AE174F" w:rsidRDefault="00000000">
      <w:pPr>
        <w:keepNext/>
        <w:spacing w:before="200" w:after="80"/>
      </w:pPr>
      <w:r>
        <w:rPr>
          <w:b/>
          <w:sz w:val="24"/>
        </w:rPr>
        <w:t>5. Summary of updates to the use case</w:t>
      </w:r>
    </w:p>
    <w:p w14:paraId="00F9E363" w14:textId="77777777" w:rsidR="00AE174F" w:rsidRDefault="00000000">
      <w:pPr>
        <w:spacing w:after="60"/>
      </w:pPr>
      <w:r>
        <w:t>The use case was revised between the Assignment 3 submission (September 18) and the Assignment 4 submission (September 25); the redline and clean versions are in the project Google Drive. The main changes are:</w:t>
      </w:r>
    </w:p>
    <w:p w14:paraId="0D94F5A8" w14:textId="77777777" w:rsidR="00AE174F" w:rsidRDefault="00000000">
      <w:pPr>
        <w:pStyle w:val="ListBullet"/>
        <w:spacing w:after="40"/>
      </w:pPr>
      <w:r>
        <w:t>Section II: the requirements are now six capability statements (identify capabilities, construct candidate plans, check inputs, outputs, preconditions and dependencies, select a plan under the user’s constraints, explain the selection, plan parallel steps); the scope states that external servers are MCP and CLI only and that the LLM does not use RAG; pre-conditions name the user’s preference settings and post-conditions add that the plan is recorded in the knowledge graph for provenance.</w:t>
      </w:r>
    </w:p>
    <w:p w14:paraId="26A0D359" w14:textId="77777777" w:rsidR="00AE174F" w:rsidRDefault="00000000">
      <w:pPr>
        <w:pStyle w:val="ListBullet"/>
        <w:spacing w:after="40"/>
      </w:pPr>
      <w:r>
        <w:t>Section III: three usage scenarios instead of two. Scenario 1 keeps Ken and Jessica (constraint-driven plan selection), Scenario 2 adds Dante, who asks for an explanation of the selected plan, and Scenario 3 adds Olivia, whose evidence and tool-call preferences conflict.</w:t>
      </w:r>
    </w:p>
    <w:p w14:paraId="02D8CDD9" w14:textId="77777777" w:rsidR="00AE174F" w:rsidRDefault="00000000">
      <w:pPr>
        <w:pStyle w:val="ListBullet"/>
        <w:spacing w:after="40"/>
      </w:pPr>
      <w:r>
        <w:t>Sections IV and V: a basic flow table for each of the three scenarios (11, 9 and 13 steps) and an alternate flow for each (capabilities cannot satisfy the request; the same case with an explanation; directly conflicting constraints), each with a summary paragraph.</w:t>
      </w:r>
    </w:p>
    <w:p w14:paraId="525DA4C2" w14:textId="77777777" w:rsidR="00AE174F" w:rsidRDefault="00000000">
      <w:pPr>
        <w:pStyle w:val="ListBullet"/>
        <w:spacing w:after="40"/>
      </w:pPr>
      <w:r>
        <w:t>Section VI: a structural diagram of the system architecture was added; the primary use case diagram was split into a user and agent-developer view and an agent view; the two activity diagrams of Scenario 1 were kept, each with its PlantUML source linked.</w:t>
      </w:r>
    </w:p>
    <w:p w14:paraId="6D867B08" w14:textId="77777777" w:rsidR="00AE174F" w:rsidRDefault="00000000">
      <w:pPr>
        <w:pStyle w:val="ListBullet"/>
        <w:spacing w:after="40"/>
      </w:pPr>
      <w:r>
        <w:t>Section VII: nine competency questions instead of eight. CQ 3 now asks why capabilities were invoked in a given order and answers it with Dante’s parallel plan; CQ 4 compares Olivia’s two candidate plans with their tool-call counts; CQ 5 (why each capability was chosen) and CQ 9 (which constraints a rejected plan violated) are new; every question gives an example answer, the steps that produce it and the ontology classes used.</w:t>
      </w:r>
    </w:p>
    <w:p w14:paraId="5B2AE52E" w14:textId="77777777" w:rsidR="00AE174F" w:rsidRDefault="00000000">
      <w:pPr>
        <w:pStyle w:val="ListBullet"/>
        <w:spacing w:after="40"/>
      </w:pPr>
      <w:r>
        <w:t>Section IX: sixteen references in IEEE format, covering all sources used for the terminology work, so that the spreadsheet, the use case and this report cite the same numbers.</w:t>
      </w:r>
    </w:p>
    <w:p w14:paraId="17A6F88B" w14:textId="77777777" w:rsidR="00AE174F" w:rsidRDefault="00000000">
      <w:pPr>
        <w:pStyle w:val="ListBullet"/>
        <w:spacing w:after="40"/>
      </w:pPr>
      <w:r>
        <w:t>Housekeeping: revision date, cross-references between scenarios and questions, and the typographical errors noted by the reviewers.</w:t>
      </w:r>
    </w:p>
    <w:p w14:paraId="7B99B65F" w14:textId="77777777" w:rsidR="00AE174F" w:rsidRDefault="00000000">
      <w:pPr>
        <w:keepNext/>
        <w:spacing w:before="200" w:after="80"/>
      </w:pPr>
      <w:r>
        <w:rPr>
          <w:b/>
          <w:sz w:val="24"/>
        </w:rPr>
        <w:t>6. Use of generative AI</w:t>
      </w:r>
    </w:p>
    <w:p w14:paraId="52F65E76" w14:textId="03F4BBEC" w:rsidR="00AE174F" w:rsidRDefault="00000000">
      <w:pPr>
        <w:spacing w:after="40"/>
      </w:pPr>
      <w:r>
        <w:t>How each member used language models to find references, extract terms and draft definitions, including prompts, checks and the problems found, is documented in OE_4_TeamAgenticCapabilities_AIUse.docx.</w:t>
      </w:r>
    </w:p>
    <w:sectPr w:rsidR="00AE17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895298">
    <w:abstractNumId w:val="8"/>
  </w:num>
  <w:num w:numId="2" w16cid:durableId="2080516062">
    <w:abstractNumId w:val="6"/>
  </w:num>
  <w:num w:numId="3" w16cid:durableId="1722286635">
    <w:abstractNumId w:val="5"/>
  </w:num>
  <w:num w:numId="4" w16cid:durableId="1297370079">
    <w:abstractNumId w:val="4"/>
  </w:num>
  <w:num w:numId="5" w16cid:durableId="7798970">
    <w:abstractNumId w:val="7"/>
  </w:num>
  <w:num w:numId="6" w16cid:durableId="1724135552">
    <w:abstractNumId w:val="3"/>
  </w:num>
  <w:num w:numId="7" w16cid:durableId="1248273176">
    <w:abstractNumId w:val="2"/>
  </w:num>
  <w:num w:numId="8" w16cid:durableId="1543208869">
    <w:abstractNumId w:val="1"/>
  </w:num>
  <w:num w:numId="9" w16cid:durableId="1754082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40D"/>
    <w:rsid w:val="0015074B"/>
    <w:rsid w:val="0029639D"/>
    <w:rsid w:val="00326F90"/>
    <w:rsid w:val="00AA1D8D"/>
    <w:rsid w:val="00AE174F"/>
    <w:rsid w:val="00B47730"/>
    <w:rsid w:val="00CB0664"/>
    <w:rsid w:val="00DE0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D5EBF"/>
  <w14:defaultImageDpi w14:val="300"/>
  <w15:docId w15:val="{5328A2AF-BCE0-48E6-B7D6-33281374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2125</Words>
  <Characters>12117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王 佳赢</cp:lastModifiedBy>
  <cp:revision>2</cp:revision>
  <dcterms:created xsi:type="dcterms:W3CDTF">2013-12-23T23:15:00Z</dcterms:created>
  <dcterms:modified xsi:type="dcterms:W3CDTF">2026-09-26T21:17:00Z</dcterms:modified>
  <cp:category/>
</cp:coreProperties>
</file>