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46"/>
          <w:szCs w:val="46"/>
        </w:rPr>
      </w:pPr>
      <w:bookmarkStart w:colFirst="0" w:colLast="0" w:name="_heading=h.rn1bitodea0" w:id="0"/>
      <w:bookmarkEnd w:id="0"/>
      <w:r w:rsidDel="00000000" w:rsidR="00000000" w:rsidRPr="00000000">
        <w:rPr>
          <w:rFonts w:ascii="Times New Roman" w:cs="Times New Roman" w:eastAsia="Times New Roman" w:hAnsi="Times New Roman"/>
          <w:sz w:val="46"/>
          <w:szCs w:val="46"/>
          <w:rtl w:val="0"/>
        </w:rPr>
        <w:t xml:space="preserve">OE9 — Conceptual Model of Property-Grounded CUT Feasibility</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34"/>
          <w:szCs w:val="34"/>
        </w:rPr>
      </w:pPr>
      <w:bookmarkStart w:colFirst="0" w:colLast="0" w:name="_heading=h.s6cpzveezft5" w:id="1"/>
      <w:bookmarkEnd w:id="1"/>
      <w:r w:rsidDel="00000000" w:rsidR="00000000" w:rsidRPr="00000000">
        <w:rPr>
          <w:rFonts w:ascii="Times New Roman" w:cs="Times New Roman" w:eastAsia="Times New Roman" w:hAnsi="Times New Roman"/>
          <w:sz w:val="34"/>
          <w:szCs w:val="34"/>
          <w:rtl w:val="0"/>
        </w:rPr>
        <w:t xml:space="preserve">1. Modeling Scope and Design Rationale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model represents a property-grounded approach to evaluating the feasibility of the CUT action in an everyday kitchen environment, assuming an ordinary human actor. Rather than relying on object names, categories, or conventional functions, the ontology evaluates candidate–target configurations using explicitly represented physical features, categorical feature levels, relevant part structures, and CUT requirements. The model distinguishes physical entities from their feature descriptions and separates the physical characteristics of a candidate from the requirements of an action. An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provides the context connecting a candidate, a target, and the CUT action. </w:t>
      </w:r>
      <w:r w:rsidDel="00000000" w:rsidR="00000000" w:rsidRPr="00000000">
        <w:rPr>
          <w:rFonts w:ascii="Times New Roman" w:cs="Times New Roman" w:eastAsia="Times New Roman" w:hAnsi="Times New Roman"/>
          <w:b w:val="1"/>
          <w:bCs w:val="1"/>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represents the physical conditions relevant to performing CUT, while </w:t>
      </w:r>
      <w:r w:rsidDel="00000000" w:rsidR="00000000" w:rsidRPr="00000000">
        <w:rPr>
          <w:rFonts w:ascii="Times New Roman" w:cs="Times New Roman" w:eastAsia="Times New Roman" w:hAnsi="Times New Roman"/>
          <w:b w:val="1"/>
          <w:bCs w:val="1"/>
          <w:sz w:val="24"/>
          <w:szCs w:val="24"/>
          <w:rtl w:val="0"/>
        </w:rPr>
        <w:t xml:space="preserve">RequirementMapping</w:t>
      </w:r>
      <w:r w:rsidDel="00000000" w:rsidR="00000000" w:rsidRPr="00000000">
        <w:rPr>
          <w:rFonts w:ascii="Times New Roman" w:cs="Times New Roman" w:eastAsia="Times New Roman" w:hAnsi="Times New Roman"/>
          <w:sz w:val="24"/>
          <w:szCs w:val="24"/>
          <w:rtl w:val="0"/>
        </w:rPr>
        <w:t xml:space="preserve"> connects target conditions to required candidate feature levels. Together, these structures support property-based reasoning about whether a supplied configuration satisfies or conflicts with the modeled requirements.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9 extends the earlier model through additional controlled assessment cases, explicit representation of unspecified feature information, part-based configurations, and SWRL reasoning rules. These additions support the evaluation of feasible, infeasible, and insufficient-information cases without treating object identity as reasoning evidence.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34"/>
          <w:szCs w:val="34"/>
        </w:rPr>
      </w:pPr>
      <w:bookmarkStart w:colFirst="0" w:colLast="0" w:name="_heading=h.5d2khdwq5nf0" w:id="2"/>
      <w:bookmarkEnd w:id="2"/>
      <w:r w:rsidDel="00000000" w:rsidR="00000000" w:rsidRPr="00000000">
        <w:rPr>
          <w:rFonts w:ascii="Times New Roman" w:cs="Times New Roman" w:eastAsia="Times New Roman" w:hAnsi="Times New Roman"/>
          <w:sz w:val="34"/>
          <w:szCs w:val="34"/>
          <w:rtl w:val="0"/>
        </w:rPr>
        <w:t xml:space="preserve">2. Diagram Conventions and Interpretation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model is presented through complementary class-structure and object-property views. In the class hierarchy diagrams, an open triangular arrowhead points from a subclass toward its superclass. Figures 1–4 present explicitly asserted subclass relationships, whereas Figure 5 illustrates selected subclass relationships that follow logically from OWL equivalent-class definitions. These two forms of classification should be distinguished. An asserted subclass relationship explicitly establishes that one class is included in another. An OWL equivalent-class definition specifies necessary and sufficient conditions for class membership, allowing a reasoner to classify individuals when the required conditions are established.</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object-property diagram, directed arrows connect domain and range classes, with labels indicating the corresponding properties. Cardinality annotations are included where they reflect implemented OWL restrictions. The diagrams represent the conceptual and logical organization of the ontology; SWRL-based feasibility judgments are explained separately from OWL class classification.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sz w:val="34"/>
          <w:szCs w:val="34"/>
        </w:rPr>
      </w:pPr>
      <w:bookmarkStart w:colFirst="0" w:colLast="0" w:name="_heading=h.nb01cyio5vrc" w:id="3"/>
      <w:bookmarkEnd w:id="3"/>
      <w:r w:rsidDel="00000000" w:rsidR="00000000" w:rsidRPr="00000000">
        <w:rPr>
          <w:rFonts w:ascii="Times New Roman" w:cs="Times New Roman" w:eastAsia="Times New Roman" w:hAnsi="Times New Roman"/>
          <w:sz w:val="34"/>
          <w:szCs w:val="34"/>
          <w:rtl w:val="0"/>
        </w:rPr>
        <w:t xml:space="preserve">3. Class Structure and OWL-Defined Classification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nb4o0024fin4" w:id="4"/>
      <w:bookmarkEnd w:id="4"/>
      <w:r w:rsidDel="00000000" w:rsidR="00000000" w:rsidRPr="00000000">
        <w:rPr>
          <w:rFonts w:ascii="Times New Roman" w:cs="Times New Roman" w:eastAsia="Times New Roman" w:hAnsi="Times New Roman"/>
          <w:color w:val="000000"/>
          <w:sz w:val="26"/>
          <w:szCs w:val="26"/>
          <w:rtl w:val="0"/>
        </w:rPr>
        <w:t xml:space="preserve">3.1 Asserted Class Hierarchies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ontology organizes its main concepts into several class hierarchies, separating physical entities, physical features, action requirements, and feasibility judgments. </w:t>
      </w:r>
      <w:r w:rsidDel="00000000" w:rsidR="00000000" w:rsidRPr="00000000">
        <w:rPr>
          <w:rFonts w:ascii="Times New Roman" w:cs="Times New Roman" w:eastAsia="Times New Roman" w:hAnsi="Times New Roman"/>
          <w:b w:val="1"/>
          <w:bCs w:val="1"/>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distinguishes complete objects and their constituent parts through </w:t>
      </w:r>
      <w:r w:rsidDel="00000000" w:rsidR="00000000" w:rsidRPr="00000000">
        <w:rPr>
          <w:rFonts w:ascii="Times New Roman" w:cs="Times New Roman" w:eastAsia="Times New Roman" w:hAnsi="Times New Roman"/>
          <w:b w:val="1"/>
          <w:bCs w:val="1"/>
          <w:sz w:val="24"/>
          <w:szCs w:val="24"/>
          <w:rtl w:val="0"/>
        </w:rPr>
        <w:t xml:space="preserve">WholeObject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organizes the characteristics used to describe candidates and targets, including geometric, mechanical, material, surface, and structural features. The corresponding </w:t>
      </w:r>
      <w:r w:rsidDel="00000000" w:rsidR="00000000" w:rsidRPr="00000000">
        <w:rPr>
          <w:rFonts w:ascii="Times New Roman" w:cs="Times New Roman" w:eastAsia="Times New Roman" w:hAnsi="Times New Roman"/>
          <w:b w:val="1"/>
          <w:bCs w:val="1"/>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hierarchy represents the physical characteristics relevant to determining whether CUT requirements can be met. Although </w:t>
      </w:r>
      <w:r w:rsidDel="00000000" w:rsidR="00000000" w:rsidRPr="00000000">
        <w:rPr>
          <w:rFonts w:ascii="Times New Roman" w:cs="Times New Roman" w:eastAsia="Times New Roman" w:hAnsi="Times New Roman"/>
          <w:b w:val="1"/>
          <w:bCs w:val="1"/>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contain related categories, they serve different purposes. </w:t>
      </w:r>
      <w:r w:rsidDel="00000000" w:rsidR="00000000" w:rsidRPr="00000000">
        <w:rPr>
          <w:rFonts w:ascii="Times New Roman" w:cs="Times New Roman" w:eastAsia="Times New Roman" w:hAnsi="Times New Roman"/>
          <w:b w:val="1"/>
          <w:bCs w:val="1"/>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describes what is represented about an entity, whereas </w:t>
      </w:r>
      <w:r w:rsidDel="00000000" w:rsidR="00000000" w:rsidRPr="00000000">
        <w:rPr>
          <w:rFonts w:ascii="Times New Roman" w:cs="Times New Roman" w:eastAsia="Times New Roman" w:hAnsi="Times New Roman"/>
          <w:b w:val="1"/>
          <w:bCs w:val="1"/>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describes what is needed for an action. Keeping these concepts separate allows candidate and target characteristics to be evaluated against action-specific requirements. The </w:t>
      </w:r>
      <w:r w:rsidDel="00000000" w:rsidR="00000000" w:rsidRPr="00000000">
        <w:rPr>
          <w:rFonts w:ascii="Times New Roman" w:cs="Times New Roman" w:eastAsia="Times New Roman" w:hAnsi="Times New Roman"/>
          <w:b w:val="1"/>
          <w:bCs w:val="1"/>
          <w:sz w:val="24"/>
          <w:szCs w:val="24"/>
          <w:rtl w:val="0"/>
        </w:rPr>
        <w:t xml:space="preserve">FeasibilityJudgment</w:t>
      </w:r>
      <w:r w:rsidDel="00000000" w:rsidR="00000000" w:rsidRPr="00000000">
        <w:rPr>
          <w:rFonts w:ascii="Times New Roman" w:cs="Times New Roman" w:eastAsia="Times New Roman" w:hAnsi="Times New Roman"/>
          <w:sz w:val="24"/>
          <w:szCs w:val="24"/>
          <w:rtl w:val="0"/>
        </w:rPr>
        <w:t xml:space="preserve"> hierarchy distinguishes </w:t>
      </w:r>
      <w:r w:rsidDel="00000000" w:rsidR="00000000" w:rsidRPr="00000000">
        <w:rPr>
          <w:rFonts w:ascii="Times New Roman" w:cs="Times New Roman" w:eastAsia="Times New Roman" w:hAnsi="Times New Roman"/>
          <w:b w:val="1"/>
          <w:bCs w:val="1"/>
          <w:sz w:val="24"/>
          <w:szCs w:val="24"/>
          <w:rtl w:val="0"/>
        </w:rPr>
        <w:t xml:space="preserve">Feasible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Infeasible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InsufficientInformation</w:t>
      </w:r>
      <w:r w:rsidDel="00000000" w:rsidR="00000000" w:rsidRPr="00000000">
        <w:rPr>
          <w:rFonts w:ascii="Times New Roman" w:cs="Times New Roman" w:eastAsia="Times New Roman" w:hAnsi="Times New Roman"/>
          <w:sz w:val="24"/>
          <w:szCs w:val="24"/>
          <w:rtl w:val="0"/>
        </w:rPr>
        <w:t xml:space="preserve"> outcomes. Additional asserted subclass relationships include </w:t>
      </w:r>
      <w:r w:rsidDel="00000000" w:rsidR="00000000" w:rsidRPr="00000000">
        <w:rPr>
          <w:rFonts w:ascii="Times New Roman" w:cs="Times New Roman" w:eastAsia="Times New Roman" w:hAnsi="Times New Roman"/>
          <w:b w:val="1"/>
          <w:bCs w:val="1"/>
          <w:sz w:val="24"/>
          <w:szCs w:val="24"/>
          <w:rtl w:val="0"/>
        </w:rPr>
        <w:t xml:space="preserve">TwoCUTRequirementsSatisfiedAssessment</w:t>
      </w:r>
      <w:r w:rsidDel="00000000" w:rsidR="00000000" w:rsidRPr="00000000">
        <w:rPr>
          <w:rFonts w:ascii="Times New Roman" w:cs="Times New Roman" w:eastAsia="Times New Roman" w:hAnsi="Times New Roman"/>
          <w:sz w:val="24"/>
          <w:szCs w:val="24"/>
          <w:rtl w:val="0"/>
        </w:rPr>
        <w:t xml:space="preserve">, a specialization of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HighHardnessRigidityMapping</w:t>
      </w:r>
      <w:r w:rsidDel="00000000" w:rsidR="00000000" w:rsidRPr="00000000">
        <w:rPr>
          <w:rFonts w:ascii="Times New Roman" w:cs="Times New Roman" w:eastAsia="Times New Roman" w:hAnsi="Times New Roman"/>
          <w:sz w:val="24"/>
          <w:szCs w:val="24"/>
          <w:rtl w:val="0"/>
        </w:rPr>
        <w:t xml:space="preserve">, a specialization of </w:t>
      </w:r>
      <w:r w:rsidDel="00000000" w:rsidR="00000000" w:rsidRPr="00000000">
        <w:rPr>
          <w:rFonts w:ascii="Times New Roman" w:cs="Times New Roman" w:eastAsia="Times New Roman" w:hAnsi="Times New Roman"/>
          <w:b w:val="1"/>
          <w:bCs w:val="1"/>
          <w:sz w:val="24"/>
          <w:szCs w:val="24"/>
          <w:rtl w:val="0"/>
        </w:rPr>
        <w:t xml:space="preserve">RequirementMapping</w:t>
      </w:r>
      <w:r w:rsidDel="00000000" w:rsidR="00000000" w:rsidRPr="00000000">
        <w:rPr>
          <w:rFonts w:ascii="Times New Roman" w:cs="Times New Roman" w:eastAsia="Times New Roman" w:hAnsi="Times New Roman"/>
          <w:sz w:val="24"/>
          <w:szCs w:val="24"/>
          <w:rtl w:val="0"/>
        </w:rPr>
        <w:t xml:space="preserve">. These classes support the representation and evaluation of specific conditions within the CUT model.</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Physical Entity and Feasibility Judgment Hierarchies.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3744832</wp:posOffset>
            </wp:positionV>
            <wp:extent cx="3595334" cy="3595334"/>
            <wp:effectExtent b="0" l="0" r="0" t="0"/>
            <wp:wrapTopAndBottom distB="114300" distT="114300"/>
            <wp:docPr id="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5334" cy="35953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263034" cy="3134584"/>
            <wp:effectExtent b="0" l="0" r="0" t="0"/>
            <wp:wrapTopAndBottom distB="114300" distT="114300"/>
            <wp:docPr id="2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63034" cy="3134584"/>
                    </a:xfrm>
                    <a:prstGeom prst="rect"/>
                    <a:ln/>
                  </pic:spPr>
                </pic:pic>
              </a:graphicData>
            </a:graphic>
          </wp:anchor>
        </w:drawing>
      </w:r>
    </w:p>
    <w:p w:rsidR="00000000" w:rsidDel="00000000" w:rsidP="00000000" w:rsidRDefault="00000000" w:rsidRPr="00000000" w14:paraId="0000000E">
      <w:pPr>
        <w:spacing w:after="240" w:befor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Figure 2. Additional Asserted Class Hierarchies.</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7372350" cy="2194261"/>
            <wp:effectExtent b="0" l="0" r="0" t="0"/>
            <wp:wrapSquare wrapText="bothSides" distB="114300" distT="114300" distL="114300" distR="114300"/>
            <wp:docPr id="2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rot="16200000">
                      <a:off x="0" y="0"/>
                      <a:ext cx="7372350" cy="21942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2648337</wp:posOffset>
            </wp:positionH>
            <wp:positionV relativeFrom="paragraph">
              <wp:posOffset>142875</wp:posOffset>
            </wp:positionV>
            <wp:extent cx="7396692" cy="2428488"/>
            <wp:effectExtent b="0" l="0" r="0" t="0"/>
            <wp:wrapSquare wrapText="bothSides" distB="114300" distT="114300" distL="114300" distR="114300"/>
            <wp:docPr id="2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rot="16200000">
                      <a:off x="0" y="0"/>
                      <a:ext cx="7396692" cy="2428488"/>
                    </a:xfrm>
                    <a:prstGeom prst="rect"/>
                    <a:ln/>
                  </pic:spPr>
                </pic:pic>
              </a:graphicData>
            </a:graphic>
          </wp:anchor>
        </w:drawing>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Physical Feature Hierarchy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419975" cy="2484967"/>
            <wp:effectExtent b="0" l="0" r="0" t="0"/>
            <wp:docPr id="2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rot="16200000">
                      <a:off x="0" y="0"/>
                      <a:ext cx="7419975" cy="24849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677150" cy="1855258"/>
            <wp:effectExtent b="0" l="0" r="0" t="0"/>
            <wp:docPr id="2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rot="16200000">
                      <a:off x="0" y="0"/>
                      <a:ext cx="7677150" cy="185525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sz w:val="24"/>
          <w:szCs w:val="24"/>
          <w:rtl w:val="0"/>
        </w:rPr>
        <w:t xml:space="preserve">Figure 4. Action Requirement Hierarchy.</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sz w:val="24"/>
          <w:szCs w:val="24"/>
        </w:rPr>
      </w:pPr>
      <w:bookmarkStart w:colFirst="0" w:colLast="0" w:name="_heading=h.q1btsfbg1jqy" w:id="5"/>
      <w:bookmarkEnd w:id="5"/>
      <w:r w:rsidDel="00000000" w:rsidR="00000000" w:rsidRPr="00000000">
        <w:rPr>
          <w:rFonts w:ascii="Times New Roman" w:cs="Times New Roman" w:eastAsia="Times New Roman" w:hAnsi="Times New Roman"/>
          <w:color w:val="000000"/>
          <w:sz w:val="26"/>
          <w:szCs w:val="26"/>
          <w:rtl w:val="0"/>
        </w:rPr>
        <w:t xml:space="preserve">3.2 OWL-Defined Classification Patterns</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explicitly asserted subclass relationships, the ontology includes classes defined through OWL equivalence axioms. These definitions allow class membership to be determined from represented relationships and restrictions rather than only from manually assigned class types. For example, </w:t>
      </w:r>
      <w:r w:rsidDel="00000000" w:rsidR="00000000" w:rsidRPr="00000000">
        <w:rPr>
          <w:rFonts w:ascii="Times New Roman" w:cs="Times New Roman" w:eastAsia="Times New Roman" w:hAnsi="Times New Roman"/>
          <w:b w:val="1"/>
          <w:bCs w:val="1"/>
          <w:sz w:val="24"/>
          <w:szCs w:val="24"/>
          <w:rtl w:val="0"/>
        </w:rPr>
        <w:t xml:space="preserve">InteractingPart</w:t>
      </w:r>
      <w:r w:rsidDel="00000000" w:rsidR="00000000" w:rsidRPr="00000000">
        <w:rPr>
          <w:rFonts w:ascii="Times New Roman" w:cs="Times New Roman" w:eastAsia="Times New Roman" w:hAnsi="Times New Roman"/>
          <w:sz w:val="24"/>
          <w:szCs w:val="24"/>
          <w:rtl w:val="0"/>
        </w:rPr>
        <w:t xml:space="preserve"> is defined as an </w:t>
      </w:r>
      <w:r w:rsidDel="00000000" w:rsidR="00000000" w:rsidRPr="00000000">
        <w:rPr>
          <w:rFonts w:ascii="Times New Roman" w:cs="Times New Roman" w:eastAsia="Times New Roman" w:hAnsi="Times New Roman"/>
          <w:b w:val="1"/>
          <w:bCs w:val="1"/>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that interacts with at least one other </w:t>
      </w:r>
      <w:r w:rsidDel="00000000" w:rsidR="00000000" w:rsidRPr="00000000">
        <w:rPr>
          <w:rFonts w:ascii="Times New Roman" w:cs="Times New Roman" w:eastAsia="Times New Roman" w:hAnsi="Times New Roman"/>
          <w:b w:val="1"/>
          <w:bCs w:val="1"/>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Consequently, an individual satisfying these conditions can be classified as </w:t>
      </w:r>
      <w:r w:rsidDel="00000000" w:rsidR="00000000" w:rsidRPr="00000000">
        <w:rPr>
          <w:rFonts w:ascii="Times New Roman" w:cs="Times New Roman" w:eastAsia="Times New Roman" w:hAnsi="Times New Roman"/>
          <w:b w:val="1"/>
          <w:bCs w:val="1"/>
          <w:sz w:val="24"/>
          <w:szCs w:val="24"/>
          <w:rtl w:val="0"/>
        </w:rPr>
        <w:t xml:space="preserve">InteractingPart</w:t>
      </w:r>
      <w:r w:rsidDel="00000000" w:rsidR="00000000" w:rsidRPr="00000000">
        <w:rPr>
          <w:rFonts w:ascii="Times New Roman" w:cs="Times New Roman" w:eastAsia="Times New Roman" w:hAnsi="Times New Roman"/>
          <w:sz w:val="24"/>
          <w:szCs w:val="24"/>
          <w:rtl w:val="0"/>
        </w:rPr>
        <w:t xml:space="preserve"> through OWL reasoning. Similarly, </w:t>
      </w:r>
      <w:r w:rsidDel="00000000" w:rsidR="00000000" w:rsidRPr="00000000">
        <w:rPr>
          <w:rFonts w:ascii="Times New Roman" w:cs="Times New Roman" w:eastAsia="Times New Roman" w:hAnsi="Times New Roman"/>
          <w:b w:val="1"/>
          <w:bCs w:val="1"/>
          <w:sz w:val="24"/>
          <w:szCs w:val="24"/>
          <w:rtl w:val="0"/>
        </w:rPr>
        <w:t xml:space="preserve">PartBearingObject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SinglePartObject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MultiPartObject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InteractingPartObject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PairedInteractingObject</w:t>
      </w:r>
      <w:r w:rsidDel="00000000" w:rsidR="00000000" w:rsidRPr="00000000">
        <w:rPr>
          <w:rFonts w:ascii="Times New Roman" w:cs="Times New Roman" w:eastAsia="Times New Roman" w:hAnsi="Times New Roman"/>
          <w:sz w:val="24"/>
          <w:szCs w:val="24"/>
          <w:rtl w:val="0"/>
        </w:rPr>
        <w:t xml:space="preserve"> describe whole objects through restrictions on their part structures. </w:t>
      </w:r>
      <w:r w:rsidDel="00000000" w:rsidR="00000000" w:rsidRPr="00000000">
        <w:rPr>
          <w:rFonts w:ascii="Times New Roman" w:cs="Times New Roman" w:eastAsia="Times New Roman" w:hAnsi="Times New Roman"/>
          <w:b w:val="1"/>
          <w:bCs w:val="1"/>
          <w:sz w:val="24"/>
          <w:szCs w:val="24"/>
          <w:rtl w:val="0"/>
        </w:rPr>
        <w:t xml:space="preserve">DescribedObject</w:t>
      </w:r>
      <w:r w:rsidDel="00000000" w:rsidR="00000000" w:rsidRPr="00000000">
        <w:rPr>
          <w:rFonts w:ascii="Times New Roman" w:cs="Times New Roman" w:eastAsia="Times New Roman" w:hAnsi="Times New Roman"/>
          <w:sz w:val="24"/>
          <w:szCs w:val="24"/>
          <w:rtl w:val="0"/>
        </w:rPr>
        <w:t xml:space="preserve"> captures whole objects with represented physical descriptions or parts. These patterns are particularly relevant to the ontology's treatment of part-based configurations. They provide a formal way to identify structural characteristics from explicit relationships, supporting the representation of configurations such as those used in the alternative-candidate CUT assessments.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7805" cy="2795846"/>
            <wp:effectExtent b="0" l="0" r="0" t="0"/>
            <wp:docPr id="2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37805" cy="279584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Selected OWL-Defined Classification Patterns.</w:t>
      </w:r>
    </w:p>
    <w:p w:rsidR="00000000" w:rsidDel="00000000" w:rsidP="00000000" w:rsidRDefault="00000000" w:rsidRPr="00000000" w14:paraId="0000002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The subclass relationships shown in Figure 5 are entailed by OWL equivalent-class definitions rather than directly asserted through rdfs:subClassOf. These definitions specify necessary and sufficient conditions for class membership. The diagram presents selected classification relationships rather than the complete inferred hierarchy.</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Figures 1-4 and 5 highlights two complementary aspects of the ontology: explicit conceptual organization and logically defined classification. OWL reasoning supports structural classification, while the SWRL rules used for CUT assessment support the evaluation of action requirements and feasibility judgments.</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34"/>
          <w:szCs w:val="34"/>
        </w:rPr>
      </w:pPr>
      <w:bookmarkStart w:colFirst="0" w:colLast="0" w:name="_heading=h.x3jrluk9k58d" w:id="6"/>
      <w:bookmarkEnd w:id="6"/>
      <w:r w:rsidDel="00000000" w:rsidR="00000000" w:rsidRPr="00000000">
        <w:rPr>
          <w:rFonts w:ascii="Times New Roman" w:cs="Times New Roman" w:eastAsia="Times New Roman" w:hAnsi="Times New Roman"/>
          <w:sz w:val="34"/>
          <w:szCs w:val="34"/>
          <w:rtl w:val="0"/>
        </w:rPr>
        <w:t xml:space="preserve">4. Property-Grounded CUT Assessment Model</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assessment model connects an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to its candidate, target, action, and feasibility judgment through the properties </w:t>
      </w:r>
      <w:r w:rsidDel="00000000" w:rsidR="00000000" w:rsidRPr="00000000">
        <w:rPr>
          <w:rFonts w:ascii="Times New Roman" w:cs="Times New Roman" w:eastAsia="Times New Roman" w:hAnsi="Times New Roman"/>
          <w:i w:val="1"/>
          <w:iCs w:val="1"/>
          <w:sz w:val="24"/>
          <w:szCs w:val="24"/>
          <w:rtl w:val="0"/>
        </w:rPr>
        <w:t xml:space="preserve">hasCandidate, hasTarget, hasAction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hasJudgment</w:t>
      </w:r>
      <w:r w:rsidDel="00000000" w:rsidR="00000000" w:rsidRPr="00000000">
        <w:rPr>
          <w:rFonts w:ascii="Times New Roman" w:cs="Times New Roman" w:eastAsia="Times New Roman" w:hAnsi="Times New Roman"/>
          <w:sz w:val="24"/>
          <w:szCs w:val="24"/>
          <w:rtl w:val="0"/>
        </w:rPr>
        <w:t xml:space="preserve">. Candidate and target are modeled as </w:t>
      </w:r>
      <w:r w:rsidDel="00000000" w:rsidR="00000000" w:rsidRPr="00000000">
        <w:rPr>
          <w:rFonts w:ascii="Times New Roman" w:cs="Times New Roman" w:eastAsia="Times New Roman" w:hAnsi="Times New Roman"/>
          <w:b w:val="1"/>
          <w:bCs w:val="1"/>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instances, with their roles determined by their relationships to the assessment rather than by separate object categories. Physical characteristics are represented using </w:t>
      </w:r>
      <w:r w:rsidDel="00000000" w:rsidR="00000000" w:rsidRPr="00000000">
        <w:rPr>
          <w:rFonts w:ascii="Times New Roman" w:cs="Times New Roman" w:eastAsia="Times New Roman" w:hAnsi="Times New Roman"/>
          <w:b w:val="1"/>
          <w:bCs w:val="1"/>
          <w:sz w:val="24"/>
          <w:szCs w:val="24"/>
          <w:rtl w:val="0"/>
        </w:rPr>
        <w:t xml:space="preserve">FeatureValue</w:t>
      </w:r>
      <w:r w:rsidDel="00000000" w:rsidR="00000000" w:rsidRPr="00000000">
        <w:rPr>
          <w:rFonts w:ascii="Times New Roman" w:cs="Times New Roman" w:eastAsia="Times New Roman" w:hAnsi="Times New Roman"/>
          <w:sz w:val="24"/>
          <w:szCs w:val="24"/>
          <w:rtl w:val="0"/>
        </w:rPr>
        <w:t xml:space="preserve">, which connects a </w:t>
      </w:r>
      <w:r w:rsidDel="00000000" w:rsidR="00000000" w:rsidRPr="00000000">
        <w:rPr>
          <w:rFonts w:ascii="Times New Roman" w:cs="Times New Roman" w:eastAsia="Times New Roman" w:hAnsi="Times New Roman"/>
          <w:b w:val="1"/>
          <w:bCs w:val="1"/>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to a categorical </w:t>
      </w:r>
      <w:r w:rsidDel="00000000" w:rsidR="00000000" w:rsidRPr="00000000">
        <w:rPr>
          <w:rFonts w:ascii="Times New Roman" w:cs="Times New Roman" w:eastAsia="Times New Roman" w:hAnsi="Times New Roman"/>
          <w:b w:val="1"/>
          <w:bCs w:val="1"/>
          <w:sz w:val="24"/>
          <w:szCs w:val="24"/>
          <w:rtl w:val="0"/>
        </w:rPr>
        <w:t xml:space="preserve">FeatureLevel</w:t>
      </w:r>
      <w:r w:rsidDel="00000000" w:rsidR="00000000" w:rsidRPr="00000000">
        <w:rPr>
          <w:rFonts w:ascii="Times New Roman" w:cs="Times New Roman" w:eastAsia="Times New Roman" w:hAnsi="Times New Roman"/>
          <w:sz w:val="24"/>
          <w:szCs w:val="24"/>
          <w:rtl w:val="0"/>
        </w:rPr>
        <w:t xml:space="preserve">. This structure allows an entity to carry explicit information about its physical characteristics without deriving those characteristics from its name or conventional function. An </w:t>
      </w: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is linked to its </w:t>
      </w:r>
      <w:r w:rsidDel="00000000" w:rsidR="00000000" w:rsidRPr="00000000">
        <w:rPr>
          <w:rFonts w:ascii="Times New Roman" w:cs="Times New Roman" w:eastAsia="Times New Roman" w:hAnsi="Times New Roman"/>
          <w:b w:val="1"/>
          <w:bCs w:val="1"/>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instances through </w:t>
      </w:r>
      <w:r w:rsidDel="00000000" w:rsidR="00000000" w:rsidRPr="00000000">
        <w:rPr>
          <w:rFonts w:ascii="Times New Roman" w:cs="Times New Roman" w:eastAsia="Times New Roman" w:hAnsi="Times New Roman"/>
          <w:i w:val="1"/>
          <w:iCs w:val="1"/>
          <w:sz w:val="24"/>
          <w:szCs w:val="24"/>
          <w:rtl w:val="0"/>
        </w:rPr>
        <w:t xml:space="preserve">hasRequirement</w:t>
      </w:r>
      <w:r w:rsidDel="00000000" w:rsidR="00000000" w:rsidRPr="00000000">
        <w:rPr>
          <w:rFonts w:ascii="Times New Roman" w:cs="Times New Roman" w:eastAsia="Times New Roman" w:hAnsi="Times New Roman"/>
          <w:sz w:val="24"/>
          <w:szCs w:val="24"/>
          <w:rtl w:val="0"/>
        </w:rPr>
        <w:t xml:space="preserve">, and each requirement identifies the relevant feature through </w:t>
      </w:r>
      <w:r w:rsidDel="00000000" w:rsidR="00000000" w:rsidRPr="00000000">
        <w:rPr>
          <w:rFonts w:ascii="Times New Roman" w:cs="Times New Roman" w:eastAsia="Times New Roman" w:hAnsi="Times New Roman"/>
          <w:i w:val="1"/>
          <w:iCs w:val="1"/>
          <w:sz w:val="24"/>
          <w:szCs w:val="24"/>
          <w:rtl w:val="0"/>
        </w:rPr>
        <w:t xml:space="preserve">concernsFeature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RequirementMapping</w:t>
      </w:r>
      <w:r w:rsidDel="00000000" w:rsidR="00000000" w:rsidRPr="00000000">
        <w:rPr>
          <w:rFonts w:ascii="Times New Roman" w:cs="Times New Roman" w:eastAsia="Times New Roman" w:hAnsi="Times New Roman"/>
          <w:sz w:val="24"/>
          <w:szCs w:val="24"/>
          <w:rtl w:val="0"/>
        </w:rPr>
        <w:t xml:space="preserve"> connects target feature conditions to the levels required for the corresponding action requirement. This allows CUT evaluation to account for both candidate characteristics and relevant target conditions. The model also uses </w:t>
      </w:r>
      <w:r w:rsidDel="00000000" w:rsidR="00000000" w:rsidRPr="00000000">
        <w:rPr>
          <w:rFonts w:ascii="Times New Roman" w:cs="Times New Roman" w:eastAsia="Times New Roman" w:hAnsi="Times New Roman"/>
          <w:i w:val="1"/>
          <w:iCs w:val="1"/>
          <w:sz w:val="24"/>
          <w:szCs w:val="24"/>
          <w:rtl w:val="0"/>
        </w:rPr>
        <w:t xml:space="preserve">hasUnspecifiedFeatureType</w:t>
      </w:r>
      <w:r w:rsidDel="00000000" w:rsidR="00000000" w:rsidRPr="00000000">
        <w:rPr>
          <w:rFonts w:ascii="Times New Roman" w:cs="Times New Roman" w:eastAsia="Times New Roman" w:hAnsi="Times New Roman"/>
          <w:sz w:val="24"/>
          <w:szCs w:val="24"/>
          <w:rtl w:val="0"/>
        </w:rPr>
        <w:t xml:space="preserve"> to explicitly represent a feature type for which a value has not been supplied. This is important for distinguishing insufficient information from an explicitly conflicting feature value. Missing assertions alone are not treated as evidence of infeasibility.</w:t>
      </w:r>
    </w:p>
    <w:p w:rsidR="00000000" w:rsidDel="00000000" w:rsidP="00000000" w:rsidRDefault="00000000" w:rsidRPr="00000000" w14:paraId="0000003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8238" cy="7241307"/>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78238" cy="724130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Object-Property Relationships Supporting Property-Grounded CUT Assessment. </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relationships provide the structural basis for evaluating whether a configuration satisfies or conflicts with the modeled CUT requirements. SWRL rules can use these represented conditions to infer requirement-evaluation relationships and feasibility judgments. The inferred results must be made available to the query environment when they are retrieved through SPARQL.</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sz w:val="34"/>
          <w:szCs w:val="34"/>
        </w:rPr>
      </w:pPr>
      <w:bookmarkStart w:colFirst="0" w:colLast="0" w:name="_heading=h.1rmq7whkbiut" w:id="7"/>
      <w:bookmarkEnd w:id="7"/>
      <w:r w:rsidDel="00000000" w:rsidR="00000000" w:rsidRPr="00000000">
        <w:rPr>
          <w:rFonts w:ascii="Times New Roman" w:cs="Times New Roman" w:eastAsia="Times New Roman" w:hAnsi="Times New Roman"/>
          <w:sz w:val="34"/>
          <w:szCs w:val="34"/>
          <w:rtl w:val="0"/>
        </w:rPr>
        <w:t xml:space="preserve">5. Part-Based Configuration Model</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CUT configurations depend not only on whole-object characteristics but also on the physical features and relationships of their constituent parts. As shown in Figure 6, the ontology represents part–whole relationships through </w:t>
      </w:r>
      <w:r w:rsidDel="00000000" w:rsidR="00000000" w:rsidRPr="00000000">
        <w:rPr>
          <w:rFonts w:ascii="Times New Roman" w:cs="Times New Roman" w:eastAsia="Times New Roman" w:hAnsi="Times New Roman"/>
          <w:i w:val="1"/>
          <w:iCs w:val="1"/>
          <w:sz w:val="24"/>
          <w:szCs w:val="24"/>
          <w:rtl w:val="0"/>
        </w:rPr>
        <w:t xml:space="preserve">hasPart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isPartOf</w:t>
      </w:r>
      <w:r w:rsidDel="00000000" w:rsidR="00000000" w:rsidRPr="00000000">
        <w:rPr>
          <w:rFonts w:ascii="Times New Roman" w:cs="Times New Roman" w:eastAsia="Times New Roman" w:hAnsi="Times New Roman"/>
          <w:sz w:val="24"/>
          <w:szCs w:val="24"/>
          <w:rtl w:val="0"/>
        </w:rPr>
        <w:t xml:space="preserve">, and interactions between object parts through </w:t>
      </w:r>
      <w:r w:rsidDel="00000000" w:rsidR="00000000" w:rsidRPr="00000000">
        <w:rPr>
          <w:rFonts w:ascii="Times New Roman" w:cs="Times New Roman" w:eastAsia="Times New Roman" w:hAnsi="Times New Roman"/>
          <w:i w:val="1"/>
          <w:iCs w:val="1"/>
          <w:sz w:val="24"/>
          <w:szCs w:val="24"/>
          <w:rtl w:val="0"/>
        </w:rPr>
        <w:t xml:space="preserve">interactsWith</w:t>
      </w:r>
      <w:r w:rsidDel="00000000" w:rsidR="00000000" w:rsidRPr="00000000">
        <w:rPr>
          <w:rFonts w:ascii="Times New Roman" w:cs="Times New Roman" w:eastAsia="Times New Roman" w:hAnsi="Times New Roman"/>
          <w:sz w:val="24"/>
          <w:szCs w:val="24"/>
          <w:rtl w:val="0"/>
        </w:rPr>
        <w:t xml:space="preserve">. Because </w:t>
      </w:r>
      <w:r w:rsidDel="00000000" w:rsidR="00000000" w:rsidRPr="00000000">
        <w:rPr>
          <w:rFonts w:ascii="Times New Roman" w:cs="Times New Roman" w:eastAsia="Times New Roman" w:hAnsi="Times New Roman"/>
          <w:b w:val="1"/>
          <w:bCs w:val="1"/>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is a subclass of </w:t>
      </w:r>
      <w:r w:rsidDel="00000000" w:rsidR="00000000" w:rsidRPr="00000000">
        <w:rPr>
          <w:rFonts w:ascii="Times New Roman" w:cs="Times New Roman" w:eastAsia="Times New Roman" w:hAnsi="Times New Roman"/>
          <w:b w:val="1"/>
          <w:bCs w:val="1"/>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individual parts can also have their own </w:t>
      </w:r>
      <w:r w:rsidDel="00000000" w:rsidR="00000000" w:rsidRPr="00000000">
        <w:rPr>
          <w:rFonts w:ascii="Times New Roman" w:cs="Times New Roman" w:eastAsia="Times New Roman" w:hAnsi="Times New Roman"/>
          <w:b w:val="1"/>
          <w:bCs w:val="1"/>
          <w:sz w:val="24"/>
          <w:szCs w:val="24"/>
          <w:rtl w:val="0"/>
        </w:rPr>
        <w:t xml:space="preserve">FeatureValue</w:t>
      </w:r>
      <w:r w:rsidDel="00000000" w:rsidR="00000000" w:rsidRPr="00000000">
        <w:rPr>
          <w:rFonts w:ascii="Times New Roman" w:cs="Times New Roman" w:eastAsia="Times New Roman" w:hAnsi="Times New Roman"/>
          <w:sz w:val="24"/>
          <w:szCs w:val="24"/>
          <w:rtl w:val="0"/>
        </w:rPr>
        <w:t xml:space="preserve"> descriptions. These relationships support the representation and evaluation of alternative CUT configurations, including knife and scissors assessments, without using conventional object functions as reasoning evidence. The OWL-defined classes shown in Figure 5 further support structural classification based on explicitly represented part relationships.</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34"/>
          <w:szCs w:val="34"/>
        </w:rPr>
      </w:pPr>
      <w:bookmarkStart w:colFirst="0" w:colLast="0" w:name="_heading=h.td5k5jhheqyz" w:id="8"/>
      <w:bookmarkEnd w:id="8"/>
      <w:r w:rsidDel="00000000" w:rsidR="00000000" w:rsidRPr="00000000">
        <w:rPr>
          <w:rFonts w:ascii="Times New Roman" w:cs="Times New Roman" w:eastAsia="Times New Roman" w:hAnsi="Times New Roman"/>
          <w:sz w:val="34"/>
          <w:szCs w:val="34"/>
          <w:rtl w:val="0"/>
        </w:rPr>
        <w:t xml:space="preserve">6. Alignment with Competency Questions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model is designed to support the three competency-question scenarios through a shared assessment structure.</w:t>
      </w:r>
    </w:p>
    <w:tbl>
      <w:tblPr>
        <w:tblStyle w:val="Table1"/>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25.0000000000005"/>
        <w:gridCol w:w="3635"/>
        <w:gridCol w:w="3855"/>
        <w:tblGridChange w:id="0">
          <w:tblGrid>
            <w:gridCol w:w="2725.0000000000005"/>
            <w:gridCol w:w="3635"/>
            <w:gridCol w:w="38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Competency Question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Model Components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Focus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CQ1 — Single Configuration Feasibility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FeatureValue, ActionRequirement, RequirementMapping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one candidate–target configuration and explain the judgment through represented physical conditions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CQ2 — Candidate Identification and 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Assessments, FeatureValue, requirement satisfaction and conflict relations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compare candidates under the modeled constraints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CQ3 — Alternative Configuration 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ObjectPart, hasPart, isPartOf, interactsWith, part-level FeatureValue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configurations involving different part structures and physical characteristics</w:t>
            </w:r>
          </w:p>
        </w:tc>
      </w:tr>
    </w:tbl>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Assignment 9 assessment cases additionally support the evaluation of different judgment outcomes. For example, the controlled Test A, Test B, and Test C configurations distinguish satisfied requirements, conflicting requirements, and explicitly unspecified required features. Across these scenarios, the ontology uses object individuals as references for organizing the assessment data, while feasibility reasoning remains grounded in explicitly represented physical features, part relationships, and requirement mappings. The resulting judgments apply within the modeled CUT requirements and do not establish universal physical feasibility across all possible contexts.</w: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KVIfWl1Km34UH1mNor2XNRQA==">CgMxLjAyDWgucm4xYml0b2RlYTAyDmguczZjcHp2ZWV6ZnQ1Mg5oLjVkMmtoZHdxNW5mMDIOaC5uYjAxY3lpbzV2cmMyDmgubmI0bzAwMjRmaW40Mg5oLnExYnRzZmJnMWpxeTIOaC54M2pybHVrOWs1OGQyDmguMXJtcTd3aGtiaXV0Mg5oLnRkNWs1amhoZXF5ejgAciExNzg1N1hzS1I0ekJWR2taWkQzeDNIOENYb0ZUSjBhVEg=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