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jc w:val="center"/>
      </w:pPr>
      <w:r>
        <w:rPr>
          <w:rFonts w:ascii="Times New Roman" w:cs="Times New Roman" w:eastAsia="Times New Roman" w:hAnsi="Times New Roman"/>
          <w:b/>
          <w:bCs/>
          <w:i w:val="false"/>
          <w:iCs w:val="false"/>
          <w:color w:val="000000"/>
          <w:sz w:val="28"/>
          <w:szCs w:val="28"/>
        </w:rPr>
        <w:t xml:space="preserve">Road Damage Classification Using Transfer Learning and MobileNetV2</w:t>
      </w:r>
    </w:p>
    <w:p>
      <w:pPr>
        <w:spacing w:after="60" w:before="0" w:line="276"/>
        <w:jc w:val="center"/>
      </w:pPr>
      <w:r>
        <w:rPr>
          <w:rFonts w:ascii="Times New Roman" w:cs="Times New Roman" w:eastAsia="Times New Roman" w:hAnsi="Times New Roman"/>
          <w:b w:val="false"/>
          <w:bCs w:val="false"/>
          <w:i/>
          <w:iCs/>
          <w:color w:val="000000"/>
          <w:sz w:val="20"/>
          <w:szCs w:val="20"/>
        </w:rPr>
        <w:t xml:space="preserve">Héctor Manuel Cabrero Ibarra, Camila Fernanda García Rubio, Erick Fidel Recinos Benítez</w:t>
      </w:r>
    </w:p>
    <w:p>
      <w:pPr>
        <w:spacing w:after="240" w:before="0" w:line="276"/>
        <w:jc w:val="center"/>
      </w:pPr>
      <w:r>
        <w:rPr>
          <w:rFonts w:ascii="Times New Roman" w:cs="Times New Roman" w:eastAsia="Times New Roman" w:hAnsi="Times New Roman"/>
          <w:b w:val="false"/>
          <w:bCs w:val="false"/>
          <w:i w:val="false"/>
          <w:iCs w:val="false"/>
          <w:color w:val="000000"/>
          <w:sz w:val="18"/>
          <w:szCs w:val="18"/>
        </w:rPr>
        <w:t xml:space="preserve">Faculty of Engineering — Universidad Don Bosco, San Salvador, El Salvador</w:t>
      </w:r>
    </w:p>
    <w:p>
      <w:pPr>
        <w:pBdr>
          <w:bottom w:val="single" w:color="2E4057" w:sz="6" w:space="1"/>
        </w:pBdr>
        <w:spacing w:after="200" w:before="0"/>
      </w:pPr>
      <w:r>
        <w:t xml:space="preserve"/>
      </w:r>
    </w:p>
    <w:p>
      <w:pPr>
        <w:spacing w:after="120" w:before="0" w:line="276"/>
        <w:jc w:val="both"/>
      </w:pPr>
      <w:r>
        <w:rPr>
          <w:rFonts w:ascii="Times New Roman" w:cs="Times New Roman" w:eastAsia="Times New Roman" w:hAnsi="Times New Roman"/>
          <w:b/>
          <w:bCs/>
          <w:i w:val="false"/>
          <w:iCs w:val="false"/>
          <w:sz w:val="20"/>
          <w:szCs w:val="20"/>
        </w:rPr>
        <w:t xml:space="preserve">Abstract — </w:t>
      </w:r>
      <w:r>
        <w:rPr>
          <w:rFonts w:ascii="Times New Roman" w:cs="Times New Roman" w:eastAsia="Times New Roman" w:hAnsi="Times New Roman"/>
          <w:b w:val="false"/>
          <w:bCs w:val="false"/>
          <w:i w:val="false"/>
          <w:iCs w:val="false"/>
          <w:sz w:val="20"/>
          <w:szCs w:val="20"/>
        </w:rPr>
        <w:t xml:space="preserve">Road infrastructure deterioration is a critical issue affecting transportation safety and economic efficiency. This paper presents an automated road damage classification system based on deep learning and Transfer Learning techniques. The proposed system uses MobileNetV2, pre-trained on ImageNet, as the feature extraction backbone, with a custom classification head adapted for four damage categories: potholes, longitudinal cracks, transverse cracks, and alligator cracks. The model was trained on 3,321 real road images from a public dataset using a two-phase strategy: frozen base layers followed by partial fine-tuning of the last 30 layers. The system achieves 63.4% validation accuracy with an F1-score of 0.74 for the pothole class. The complete system is deployable via a command-line inference script without requiring retraining, fulfilling reproducibility and portability requirements for real-world applications.</w:t>
      </w:r>
    </w:p>
    <w:p>
      <w:pPr>
        <w:spacing w:after="200" w:before="0" w:line="276"/>
        <w:jc w:val="both"/>
      </w:pPr>
      <w:r>
        <w:rPr>
          <w:rFonts w:ascii="Times New Roman" w:cs="Times New Roman" w:eastAsia="Times New Roman" w:hAnsi="Times New Roman"/>
          <w:b/>
          <w:bCs/>
          <w:i w:val="false"/>
          <w:iCs w:val="false"/>
          <w:sz w:val="20"/>
          <w:szCs w:val="20"/>
        </w:rPr>
        <w:t xml:space="preserve">Keywords — </w:t>
      </w:r>
      <w:r>
        <w:rPr>
          <w:rFonts w:ascii="Times New Roman" w:cs="Times New Roman" w:eastAsia="Times New Roman" w:hAnsi="Times New Roman"/>
          <w:b w:val="false"/>
          <w:bCs w:val="false"/>
          <w:i w:val="false"/>
          <w:iCs w:val="false"/>
          <w:sz w:val="20"/>
          <w:szCs w:val="20"/>
        </w:rPr>
        <w:t xml:space="preserve">road damage classification, transfer learning, MobileNetV2, computer vision, convolutional neural networks, fine-tuning, image classification.</w:t>
      </w:r>
    </w:p>
    <w:p>
      <w:pPr>
        <w:pBdr>
          <w:bottom w:val="single" w:color="2E4057" w:sz="6" w:space="1"/>
        </w:pBdr>
        <w:spacing w:after="200" w:before="0"/>
      </w:pPr>
      <w:r>
        <w:t xml:space="preserve"/>
      </w:r>
    </w:p>
    <w:p>
      <w:pPr>
        <w:spacing w:after="100" w:before="200"/>
        <w:jc w:val="left"/>
      </w:pPr>
      <w:r>
        <w:rPr>
          <w:rFonts w:ascii="Times New Roman" w:cs="Times New Roman" w:eastAsia="Times New Roman" w:hAnsi="Times New Roman"/>
          <w:b/>
          <w:bCs/>
          <w:caps/>
          <w:sz w:val="20"/>
          <w:szCs w:val="20"/>
        </w:rPr>
        <w:t xml:space="preserve">I. INTRODUCTION</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Road infrastructure plays a fundamental role in economic development and public safety. Deteriorated roads lead to increased vehicle maintenance costs, higher accident rates, and reduced transportation efficiency. Traditional road inspection methods rely on manual surveys conducted by engineers, which are time-consuming, expensive, and subject to human error.</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application of computer vision and deep learning techniques offers a promising alternative for automating road condition assessment. Convolutional Neural Networks (CNNs) have demonstrated exceptional performance in image recognition tasks, making them suitable candidates for road damage detection and classification.</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This paper proposes a road damage classification system that leverages Transfer Learning with MobileNetV2 to categorize road surface conditions into four damage types. The system processes road images and outputs a damage category along with a confidence score, enabling rapid and consistent road condition assessment without requiring expert intervention.</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remainder of this paper is organized as follows: Section II reviews related work in road damage detection. Section III describes the methodology including dataset, architecture, and training strategy. Section IV presents experimental results. Section V provides a discussion of findings, and Section VI concludes the paper.</w:t>
      </w:r>
    </w:p>
    <w:p>
      <w:r>
        <w:rPr>
          <w:sz w:val="20"/>
          <w:szCs w:val="20"/>
        </w:rPr>
        <w:t xml:space="preserve"/>
      </w:r>
    </w:p>
    <w:p>
      <w:pPr>
        <w:spacing w:after="100" w:before="200"/>
        <w:jc w:val="left"/>
      </w:pPr>
      <w:r>
        <w:rPr>
          <w:rFonts w:ascii="Times New Roman" w:cs="Times New Roman" w:eastAsia="Times New Roman" w:hAnsi="Times New Roman"/>
          <w:b/>
          <w:bCs/>
          <w:caps/>
          <w:sz w:val="20"/>
          <w:szCs w:val="20"/>
        </w:rPr>
        <w:t xml:space="preserve">II. RELATED WORK</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Road damage detection using deep learning has gained significant attention in recent years. Maeda et al. [1] proposed one of the earliest large-scale road damage datasets and demonstrated the effectiveness of SSD (Single Shot Multibox Detector) for real-time damage detection using smartphone cameras. Their work established a baseline for subsequent research in this domain.</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Arya et al. [2] introduced the Road Damage Dataset 2022 (RDD2022), a comprehensive multi-country dataset containing over 47,000 road images with damage annotations. This dataset has become a standard benchmark for road damage detection research, enabling cross-country generalization studies.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Regarding Transfer Learning approaches, Howard et al. [3] introduced MobileNetV2, a lightweight architecture designed for mobile and embedded vision applications. Its depthwise separable convolutions significantly reduce computational cost while maintaining competitive accuracy, making it suitable for deployment in resource-constrained environments.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More recently, researchers have explored fine-tuning strategies for domain-specific applications. Tan and Le [4] demonstrated that partially unfreezing pre-trained layers during a second training phase (fine-tuning) consistently improves performance over fully frozen feature extraction. Our work builds upon these findings by applying a two-phase training strategy specifically adapted for road damage classification.</w:t>
      </w:r>
    </w:p>
    <w:p>
      <w:r>
        <w:rPr>
          <w:sz w:val="20"/>
          <w:szCs w:val="20"/>
        </w:rPr>
        <w:t xml:space="preserve"/>
      </w:r>
    </w:p>
    <w:p>
      <w:pPr>
        <w:spacing w:after="100" w:before="200"/>
        <w:jc w:val="left"/>
      </w:pPr>
      <w:r>
        <w:rPr>
          <w:rFonts w:ascii="Times New Roman" w:cs="Times New Roman" w:eastAsia="Times New Roman" w:hAnsi="Times New Roman"/>
          <w:b/>
          <w:bCs/>
          <w:caps/>
          <w:sz w:val="20"/>
          <w:szCs w:val="20"/>
        </w:rPr>
        <w:t xml:space="preserve">III. METHODOLOGY</w:t>
      </w:r>
    </w:p>
    <w:p>
      <w:pPr>
        <w:spacing w:after="100" w:before="200"/>
        <w:jc w:val="left"/>
      </w:pPr>
      <w:r>
        <w:rPr>
          <w:rFonts w:ascii="Times New Roman" w:cs="Times New Roman" w:eastAsia="Times New Roman" w:hAnsi="Times New Roman"/>
          <w:b/>
          <w:bCs/>
          <w:caps w:val="false"/>
          <w:sz w:val="20"/>
          <w:szCs w:val="20"/>
        </w:rPr>
        <w:t xml:space="preserve">A. Dataset</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Road Damage Dataset (available on Kaggle) was used for training and evaluation. The dataset contains 3,321 real-world road images annotated in YOLO format, organized into four damage categories:</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Pothole (1,252 images — 38%)</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Alligator Crack (819 images — 25%)</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Transverse Crack (636 images — 19%)</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Longitudinal Crack (614 images — 18%)</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dataset was split into 80% training (2,655 images) and 20% validation (666 images) using stratified random sampling. A class imbalance was observed, with potholes representing nearly twice the samples of longitudinal cracks. This was addressed during training using class weighting.</w:t>
      </w:r>
    </w:p>
    <w:p>
      <w:pPr>
        <w:spacing w:after="100" w:before="200"/>
        <w:jc w:val="left"/>
      </w:pPr>
      <w:r>
        <w:rPr>
          <w:rFonts w:ascii="Times New Roman" w:cs="Times New Roman" w:eastAsia="Times New Roman" w:hAnsi="Times New Roman"/>
          <w:b/>
          <w:bCs/>
          <w:caps w:val="false"/>
          <w:sz w:val="20"/>
          <w:szCs w:val="20"/>
        </w:rPr>
        <w:t xml:space="preserve">B. System Architecture</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proposed system follows a modular pipeline architecture:</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Input: RGB road image (any resolution)</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Preprocessing: resize to 224×224 pixels, pixel normalization to [0,1]</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Feature Extraction: MobileNetV2 base (pre-trained on ImageNet, 2.26M frozen parameters)</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Classification Head: GlobalAveragePooling2D → Dense(256, ReLU) → Dropout(0.4) → Dense(128, ReLU) → Dropout(0.3) → Dense(4, Softmax)</w:t>
      </w:r>
    </w:p>
    <w:p>
      <w:pPr>
        <w:pStyle w:val="ListParagraph"/>
        <w:numPr>
          <w:ilvl w:val="0"/>
          <w:numId w:val="2"/>
        </w:numPr>
        <w:spacing w:after="40" w:before="40" w:line="276"/>
        <w:jc w:val="both"/>
      </w:pPr>
      <w:r>
        <w:rPr>
          <w:rFonts w:ascii="Times New Roman" w:cs="Times New Roman" w:eastAsia="Times New Roman" w:hAnsi="Times New Roman"/>
          <w:sz w:val="20"/>
          <w:szCs w:val="20"/>
        </w:rPr>
        <w:t xml:space="preserve">Output: predicted class label and confidence score</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complete model contains 2,619,332 total parameters, of which 361,348 are trainable during Phase 1.</w:t>
      </w:r>
    </w:p>
    <w:p>
      <w:pPr>
        <w:spacing w:after="100" w:before="200"/>
        <w:jc w:val="left"/>
      </w:pPr>
      <w:r>
        <w:rPr>
          <w:rFonts w:ascii="Times New Roman" w:cs="Times New Roman" w:eastAsia="Times New Roman" w:hAnsi="Times New Roman"/>
          <w:b/>
          <w:bCs/>
          <w:caps w:val="false"/>
          <w:sz w:val="20"/>
          <w:szCs w:val="20"/>
        </w:rPr>
        <w:t xml:space="preserve">C. Training Strategy</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Training was conducted in two phases to progressively adapt the pre-trained model to the road damage domain:</w:t>
      </w:r>
    </w:p>
    <w:p>
      <w:pPr>
        <w:spacing w:after="80" w:before="80" w:line="276"/>
        <w:jc w:val="both"/>
      </w:pPr>
      <w:r>
        <w:rPr>
          <w:rFonts w:ascii="Times New Roman" w:cs="Times New Roman" w:eastAsia="Times New Roman" w:hAnsi="Times New Roman"/>
          <w:b/>
          <w:bCs/>
          <w:i w:val="false"/>
          <w:iCs w:val="false"/>
          <w:sz w:val="20"/>
          <w:szCs w:val="20"/>
        </w:rPr>
        <w:t xml:space="preserve">Phase 1 — Transfer Learning: </w:t>
      </w:r>
      <w:r>
        <w:rPr>
          <w:rFonts w:ascii="Times New Roman" w:cs="Times New Roman" w:eastAsia="Times New Roman" w:hAnsi="Times New Roman"/>
          <w:b w:val="false"/>
          <w:bCs w:val="false"/>
          <w:i w:val="false"/>
          <w:iCs w:val="false"/>
          <w:sz w:val="20"/>
          <w:szCs w:val="20"/>
        </w:rPr>
        <w:t xml:space="preserve">All MobileNetV2 base layers were frozen. Only the custom classification head was trained for up to 20 epochs using Adam optimizer (lr=0.001), categorical cross-entropy loss, and class weights to handle class imbalance. Early stopping (patience=5) and ReduceLROnPlateau (factor=0.5, patience=3) callbacks were applied. Best model reached 59.2% validation accuracy at epoch 10.</w:t>
      </w:r>
    </w:p>
    <w:p>
      <w:pPr>
        <w:spacing w:after="80" w:before="80" w:line="276"/>
        <w:jc w:val="both"/>
      </w:pPr>
      <w:r>
        <w:rPr>
          <w:rFonts w:ascii="Times New Roman" w:cs="Times New Roman" w:eastAsia="Times New Roman" w:hAnsi="Times New Roman"/>
          <w:b/>
          <w:bCs/>
          <w:i w:val="false"/>
          <w:iCs w:val="false"/>
          <w:sz w:val="20"/>
          <w:szCs w:val="20"/>
        </w:rPr>
        <w:t xml:space="preserve">Phase 2 — Fine-tuning: </w:t>
      </w:r>
      <w:r>
        <w:rPr>
          <w:rFonts w:ascii="Times New Roman" w:cs="Times New Roman" w:eastAsia="Times New Roman" w:hAnsi="Times New Roman"/>
          <w:b w:val="false"/>
          <w:bCs w:val="false"/>
          <w:i w:val="false"/>
          <w:iCs w:val="false"/>
          <w:sz w:val="20"/>
          <w:szCs w:val="20"/>
        </w:rPr>
        <w:t xml:space="preserve">The last 30 layers of MobileNetV2 were unfrozen and retrained with a reduced learning rate (lr=1e-5) for up to 15 epochs. This allowed domain-specific feature refinement while avoiding catastrophic forgetting of ImageNet representations. Final validation accuracy improved to 63.4%.</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Data augmentation was applied exclusively to the training set: random rotation (±15°), width/height shifts (±10%), horizontal flipping, zoom (±10%), and brightness variation (0.8–1.2).</w:t>
      </w:r>
    </w:p>
    <w:p>
      <w:pPr>
        <w:spacing w:after="100" w:before="200"/>
        <w:jc w:val="left"/>
      </w:pPr>
      <w:r>
        <w:rPr>
          <w:rFonts w:ascii="Times New Roman" w:cs="Times New Roman" w:eastAsia="Times New Roman" w:hAnsi="Times New Roman"/>
          <w:b/>
          <w:bCs/>
          <w:caps w:val="false"/>
          <w:sz w:val="20"/>
          <w:szCs w:val="20"/>
        </w:rPr>
        <w:t xml:space="preserve">D. Implementation Details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system was implemented in Python 3.10 using TensorFlow 2.15 / Keras. All experiments were conducted on CPU (Intel architecture) without GPU acceleration. The trained model is persisted in Keras format (.keras) enabling inference without retraining. The project follows a modular software architecture separating data loading, model definition, training, evaluation, and inference into independent modules.</w:t>
      </w:r>
    </w:p>
    <w:p>
      <w:r>
        <w:rPr>
          <w:sz w:val="20"/>
          <w:szCs w:val="20"/>
        </w:rPr>
        <w:t xml:space="preserve"/>
      </w:r>
    </w:p>
    <w:p>
      <w:pPr>
        <w:spacing w:after="100" w:before="200"/>
        <w:jc w:val="left"/>
      </w:pPr>
      <w:r>
        <w:rPr>
          <w:rFonts w:ascii="Times New Roman" w:cs="Times New Roman" w:eastAsia="Times New Roman" w:hAnsi="Times New Roman"/>
          <w:b/>
          <w:bCs/>
          <w:caps/>
          <w:sz w:val="20"/>
          <w:szCs w:val="20"/>
        </w:rPr>
        <w:t xml:space="preserve">IV. RESULTS</w:t>
      </w:r>
    </w:p>
    <w:p>
      <w:pPr>
        <w:spacing w:after="100" w:before="200"/>
        <w:jc w:val="left"/>
      </w:pPr>
      <w:r>
        <w:rPr>
          <w:rFonts w:ascii="Times New Roman" w:cs="Times New Roman" w:eastAsia="Times New Roman" w:hAnsi="Times New Roman"/>
          <w:b/>
          <w:bCs/>
          <w:caps w:val="false"/>
          <w:sz w:val="20"/>
          <w:szCs w:val="20"/>
        </w:rPr>
        <w:t xml:space="preserve">A. Training Progress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Table I summarizes the training results across both phases.</w:t>
      </w:r>
    </w:p>
    <w:p>
      <w:pPr>
        <w:spacing w:after="80" w:before="160" w:line="276"/>
        <w:jc w:val="center"/>
      </w:pPr>
      <w:r>
        <w:rPr>
          <w:rFonts w:ascii="Times New Roman" w:cs="Times New Roman" w:eastAsia="Times New Roman" w:hAnsi="Times New Roman"/>
          <w:b/>
          <w:bCs/>
          <w:i w:val="false"/>
          <w:iCs w:val="false"/>
          <w:color w:val="000000"/>
          <w:sz w:val="20"/>
          <w:szCs w:val="20"/>
        </w:rPr>
        <w:t xml:space="preserve">TABLE I — TRAINING RESULTS BY PHASE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000"/>
        <w:gridCol w:w="2000"/>
      </w:tblGrid>
      <w:tr>
        <w:tc>
          <w:tcPr>
            <w:tcW w:type="dxa" w:w="25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Phase</w:t>
            </w:r>
          </w:p>
        </w:tc>
        <w:tc>
          <w:tcPr>
            <w:tcW w:type="dxa" w:w="25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Description</w:t>
            </w:r>
          </w:p>
        </w:tc>
        <w:tc>
          <w:tcPr>
            <w:tcW w:type="dxa" w:w="20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Best Epoch</w:t>
            </w:r>
          </w:p>
        </w:tc>
        <w:tc>
          <w:tcPr>
            <w:tcW w:type="dxa" w:w="20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Val Accuracy</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Phase 1</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Frozen base layers</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10 / 20</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59.2%</w:t>
            </w:r>
          </w:p>
        </w:tc>
      </w:tr>
      <w:tr>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Phase 2</w:t>
            </w:r>
          </w:p>
        </w:tc>
        <w:tc>
          <w:tcPr>
            <w:tcW w:type="dxa" w:w="2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Fine-tuning (last 30 layers)</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15 / 15</w:t>
            </w:r>
          </w:p>
        </w:tc>
        <w:tc>
          <w:tcPr>
            <w:tcW w:type="dxa" w:w="2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63.4%</w:t>
            </w:r>
          </w:p>
        </w:tc>
      </w:tr>
    </w:tbl>
    <w:p>
      <w:r>
        <w:rPr>
          <w:sz w:val="20"/>
          <w:szCs w:val="20"/>
        </w:rPr>
        <w:t xml:space="preserve"/>
      </w:r>
    </w:p>
    <w:p>
      <w:pPr>
        <w:spacing w:after="100" w:before="200"/>
        <w:jc w:val="left"/>
      </w:pPr>
      <w:r>
        <w:rPr>
          <w:rFonts w:ascii="Times New Roman" w:cs="Times New Roman" w:eastAsia="Times New Roman" w:hAnsi="Times New Roman"/>
          <w:b/>
          <w:bCs/>
          <w:caps w:val="false"/>
          <w:sz w:val="20"/>
          <w:szCs w:val="20"/>
        </w:rPr>
        <w:t xml:space="preserve">B. Classification Performance</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Table II presents the per-class classification metrics obtained on the validation set (666 images).</w:t>
      </w:r>
    </w:p>
    <w:p>
      <w:pPr>
        <w:spacing w:after="80" w:before="160" w:line="276"/>
        <w:jc w:val="center"/>
      </w:pPr>
      <w:r>
        <w:rPr>
          <w:rFonts w:ascii="Times New Roman" w:cs="Times New Roman" w:eastAsia="Times New Roman" w:hAnsi="Times New Roman"/>
          <w:b/>
          <w:bCs/>
          <w:i w:val="false"/>
          <w:iCs w:val="false"/>
          <w:color w:val="000000"/>
          <w:sz w:val="20"/>
          <w:szCs w:val="20"/>
        </w:rPr>
        <w:t xml:space="preserve">TABLE II — PER-CLASS CLASSIFICATION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550"/>
        <w:gridCol w:w="1550"/>
        <w:gridCol w:w="1550"/>
        <w:gridCol w:w="1550"/>
      </w:tblGrid>
      <w:tr>
        <w:tc>
          <w:tcPr>
            <w:tcW w:type="dxa" w:w="280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Class</w:t>
            </w:r>
          </w:p>
        </w:tc>
        <w:tc>
          <w:tcPr>
            <w:tcW w:type="dxa" w:w="155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Precision</w:t>
            </w:r>
          </w:p>
        </w:tc>
        <w:tc>
          <w:tcPr>
            <w:tcW w:type="dxa" w:w="155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Recall</w:t>
            </w:r>
          </w:p>
        </w:tc>
        <w:tc>
          <w:tcPr>
            <w:tcW w:type="dxa" w:w="155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F1-score</w:t>
            </w:r>
          </w:p>
        </w:tc>
        <w:tc>
          <w:tcPr>
            <w:tcW w:type="dxa" w:w="1550"/>
            <w:tcBorders>
              <w:top w:val="single" w:color="AAAAAA" w:sz="1"/>
              <w:left w:val="single" w:color="AAAAAA" w:sz="1"/>
              <w:bottom w:val="single" w:color="AAAAAA" w:sz="1"/>
              <w:right w:val="single" w:color="AAAAAA" w:sz="1"/>
            </w:tcBorders>
            <w:shd w:fill="2E4057" w:val="clear"/>
            <w:tcMar>
              <w:top w:type="dxa" w:w="80"/>
              <w:left w:type="dxa" w:w="120"/>
              <w:bottom w:type="dxa" w:w="80"/>
              <w:right w:type="dxa" w:w="120"/>
            </w:tcMar>
          </w:tcPr>
          <w:p>
            <w:pPr>
              <w:jc w:val="center"/>
            </w:pPr>
            <w:r>
              <w:rPr>
                <w:rFonts w:ascii="Times New Roman" w:cs="Times New Roman" w:eastAsia="Times New Roman" w:hAnsi="Times New Roman"/>
                <w:b/>
                <w:bCs/>
                <w:color w:val="FFFFFF"/>
                <w:sz w:val="18"/>
                <w:szCs w:val="18"/>
              </w:rPr>
              <w:t xml:space="preserve">Support</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Alligator Crack</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0.59</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0.52</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0.56</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164</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Longitudinal Crack</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0.52</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0.47</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0.49</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123</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Pothole</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0.75</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0.73</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0.74</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251</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Transverse Crack</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0.57</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0.73</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0.64</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128</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Macro Average</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0.61</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0.62</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0.61</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666</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Overall Accuracy</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0.63</w:t>
            </w:r>
          </w:p>
        </w:tc>
        <w:tc>
          <w:tcPr>
            <w:tcW w:type="dxa" w:w="155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center"/>
            </w:pPr>
            <w:r>
              <w:rPr>
                <w:rFonts w:ascii="Times New Roman" w:cs="Times New Roman" w:eastAsia="Times New Roman" w:hAnsi="Times New Roman"/>
                <w:b w:val="false"/>
                <w:bCs w:val="false"/>
                <w:color w:val="000000"/>
                <w:sz w:val="18"/>
                <w:szCs w:val="18"/>
              </w:rPr>
              <w:t xml:space="preserve">666</w:t>
            </w:r>
          </w:p>
        </w:tc>
      </w:tr>
    </w:tbl>
    <w:p>
      <w:r>
        <w:rPr>
          <w:sz w:val="20"/>
          <w:szCs w:val="20"/>
        </w:rPr>
        <w:t xml:space="preserve"/>
      </w:r>
    </w:p>
    <w:p>
      <w:pPr>
        <w:spacing w:after="100" w:before="200"/>
        <w:jc w:val="left"/>
      </w:pPr>
      <w:r>
        <w:rPr>
          <w:rFonts w:ascii="Times New Roman" w:cs="Times New Roman" w:eastAsia="Times New Roman" w:hAnsi="Times New Roman"/>
          <w:b/>
          <w:bCs/>
          <w:caps w:val="false"/>
          <w:sz w:val="20"/>
          <w:szCs w:val="20"/>
        </w:rPr>
        <w:t xml:space="preserve">C. Confusion Matrix Analysis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confusion matrix revealed that the most common misclassifications occur between crack types. Longitudinal and transverse cracks share similar elongated visual patterns, leading to mutual confusion. Alligator cracks are occasionally misclassified as potholes (22 cases) due to overlapping texture characteristics at certain image scales. Potholes exhibited the clearest visual signature and achieved the highest classification performance.</w:t>
      </w:r>
    </w:p>
    <w:p>
      <w:r>
        <w:rPr>
          <w:sz w:val="20"/>
          <w:szCs w:val="20"/>
        </w:rPr>
        <w:t xml:space="preserve"/>
      </w:r>
    </w:p>
    <w:p>
      <w:pPr>
        <w:spacing w:after="100" w:before="200"/>
        <w:jc w:val="left"/>
      </w:pPr>
      <w:r>
        <w:rPr>
          <w:rFonts w:ascii="Times New Roman" w:cs="Times New Roman" w:eastAsia="Times New Roman" w:hAnsi="Times New Roman"/>
          <w:b/>
          <w:bCs/>
          <w:caps/>
          <w:sz w:val="20"/>
          <w:szCs w:val="20"/>
        </w:rPr>
        <w:t xml:space="preserve">V. DISCUSSION</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proposed system demonstrates the viability of Transfer Learning for road damage classification using a limited dataset. The two-phase training strategy yielded a 4.2 percentage point improvement in validation accuracy over the frozen-base approach alone, confirming the effectiveness of fine-tuning for domain adaptation.</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class imbalance in the dataset (potholes representing 38% of samples) was effectively managed through class weighting, preventing the model from overfitting to the majority class. The pothole class achieved an F1-score of 0.74, the highest among all classes, which aligns with the expectation that potholes present more distinctive visual features compared to crack types.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primary limitation of the current system is the confusion between crack subtypes. Longitudinal, transverse, and alligator cracks share low-level texture features that make classification challenging even for human annotators. Future work should explore attention mechanisms or multi-scale feature extraction to better discriminate these categories.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Training on CPU represents a significant constraint. GPU-accelerated training would allow exploration of more epochs, larger batch sizes, and deeper fine-tuning, potentially improving accuracy by 10–15 percentage points based on comparable studies in the literature.</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From a software engineering perspective, the modular architecture of the system ensures maintainability and reproducibility. The inference pipeline can be executed with a single command without retraining, making it suitable for practical deployment scenarios.</w:t>
      </w:r>
    </w:p>
    <w:p>
      <w:r>
        <w:rPr>
          <w:sz w:val="20"/>
          <w:szCs w:val="20"/>
        </w:rPr>
        <w:t xml:space="preserve"/>
      </w:r>
    </w:p>
    <w:p>
      <w:pPr>
        <w:spacing w:after="100" w:before="200"/>
        <w:jc w:val="left"/>
      </w:pPr>
      <w:r>
        <w:rPr>
          <w:rFonts w:ascii="Times New Roman" w:cs="Times New Roman" w:eastAsia="Times New Roman" w:hAnsi="Times New Roman"/>
          <w:b/>
          <w:bCs/>
          <w:caps/>
          <w:sz w:val="20"/>
          <w:szCs w:val="20"/>
        </w:rPr>
        <w:t xml:space="preserve">VI. CONCLUSIONS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This paper presented an automated road damage classification system based on Transfer Learning with MobileNetV2. The system classifies road images into four damage categories — potholes, longitudinal cracks, transverse cracks, and alligator cracks — achieving 63.4% validation accuracy with a macro F1-score of 0.61.</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The key contributions of this work include: (1) a complete end-to-end classification pipeline from image acquisition to prediction output; (2) a two-phase training strategy combining feature extraction and fine-tuning; (3) class weighting to handle dataset imbalance; and (4) a modular, reproducible software architecture following software engineering best practices.</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Future work will focus on expanding the dataset with a "no damage" class, incorporating GPU-accelerated training, exploring more powerful backbone architectures such as EfficientNetV2, and extending the system to multi-label classification to handle images containing multiple damage types simultaneously.</w:t>
      </w:r>
    </w:p>
    <w:p>
      <w:r>
        <w:rPr>
          <w:sz w:val="20"/>
          <w:szCs w:val="20"/>
        </w:rPr>
        <w:t xml:space="preserve"/>
      </w:r>
    </w:p>
    <w:p>
      <w:pPr>
        <w:spacing w:after="100" w:before="200"/>
        <w:jc w:val="left"/>
      </w:pPr>
      <w:r>
        <w:rPr>
          <w:rFonts w:ascii="Times New Roman" w:cs="Times New Roman" w:eastAsia="Times New Roman" w:hAnsi="Times New Roman"/>
          <w:b/>
          <w:bCs/>
          <w:caps/>
          <w:sz w:val="20"/>
          <w:szCs w:val="20"/>
        </w:rPr>
        <w:t xml:space="preserve">REFERENCES</w:t>
      </w:r>
    </w:p>
    <w:p>
      <w:pPr>
        <w:spacing w:after="60" w:before="60" w:line="276"/>
        <w:jc w:val="both"/>
      </w:pPr>
      <w:r>
        <w:rPr>
          <w:rFonts w:ascii="Times New Roman" w:cs="Times New Roman" w:eastAsia="Times New Roman" w:hAnsi="Times New Roman"/>
          <w:b/>
          <w:bCs/>
          <w:i w:val="false"/>
          <w:iCs w:val="false"/>
          <w:sz w:val="20"/>
          <w:szCs w:val="20"/>
        </w:rPr>
        <w:t xml:space="preserve">[1]  </w:t>
      </w:r>
      <w:r>
        <w:rPr>
          <w:rFonts w:ascii="Times New Roman" w:cs="Times New Roman" w:eastAsia="Times New Roman" w:hAnsi="Times New Roman"/>
          <w:b w:val="false"/>
          <w:bCs w:val="false"/>
          <w:i w:val="false"/>
          <w:iCs w:val="false"/>
          <w:sz w:val="20"/>
          <w:szCs w:val="20"/>
        </w:rPr>
        <w:t xml:space="preserve">H. Maeda, Y. Sekimoto, T. Seto, T. Kashiyama, and H. Omata, "Road Damage Detection and Classification Using Deep Neural Networks with Smartphone Images," Computer-Aided Civil and Infrastructure Engineering, vol. 33, no. 12, pp. 1127–1141, 2018.</w:t>
      </w:r>
    </w:p>
    <w:p>
      <w:pPr>
        <w:spacing w:after="60" w:before="60" w:line="276"/>
        <w:jc w:val="both"/>
      </w:pPr>
      <w:r>
        <w:rPr>
          <w:rFonts w:ascii="Times New Roman" w:cs="Times New Roman" w:eastAsia="Times New Roman" w:hAnsi="Times New Roman"/>
          <w:b/>
          <w:bCs/>
          <w:i w:val="false"/>
          <w:iCs w:val="false"/>
          <w:sz w:val="20"/>
          <w:szCs w:val="20"/>
        </w:rPr>
        <w:t xml:space="preserve">[2]  </w:t>
      </w:r>
      <w:r>
        <w:rPr>
          <w:rFonts w:ascii="Times New Roman" w:cs="Times New Roman" w:eastAsia="Times New Roman" w:hAnsi="Times New Roman"/>
          <w:b w:val="false"/>
          <w:bCs w:val="false"/>
          <w:i w:val="false"/>
          <w:iCs w:val="false"/>
          <w:sz w:val="20"/>
          <w:szCs w:val="20"/>
        </w:rPr>
        <w:t xml:space="preserve">D. Arya, H. Maeda, S. K. Ghosh, D. Toshniwal, and Y. Sekimoto, "RDD2022: A multi-national image dataset for automatic Road Damage Detection," arXiv preprint arXiv:2209.08538, 2022.</w:t>
      </w:r>
    </w:p>
    <w:p>
      <w:pPr>
        <w:spacing w:after="60" w:before="60" w:line="276"/>
        <w:jc w:val="both"/>
      </w:pPr>
      <w:r>
        <w:rPr>
          <w:rFonts w:ascii="Times New Roman" w:cs="Times New Roman" w:eastAsia="Times New Roman" w:hAnsi="Times New Roman"/>
          <w:b/>
          <w:bCs/>
          <w:i w:val="false"/>
          <w:iCs w:val="false"/>
          <w:sz w:val="20"/>
          <w:szCs w:val="20"/>
        </w:rPr>
        <w:t xml:space="preserve">[3]  </w:t>
      </w:r>
      <w:r>
        <w:rPr>
          <w:rFonts w:ascii="Times New Roman" w:cs="Times New Roman" w:eastAsia="Times New Roman" w:hAnsi="Times New Roman"/>
          <w:b w:val="false"/>
          <w:bCs w:val="false"/>
          <w:i w:val="false"/>
          <w:iCs w:val="false"/>
          <w:sz w:val="20"/>
          <w:szCs w:val="20"/>
        </w:rPr>
        <w:t xml:space="preserve">M. Sandler, A. Howard, M. Zhu, A. Zhmoginov, and L. C. Chen, "MobileNetV2: Inverted Residuals and Linear Bottlenecks," in Proc. IEEE/CVF Conference on Computer Vision and Pattern Recognition (CVPR), pp. 4510–4520, 2018.</w:t>
      </w:r>
    </w:p>
    <w:p>
      <w:pPr>
        <w:spacing w:after="60" w:before="60" w:line="276"/>
        <w:jc w:val="both"/>
      </w:pPr>
      <w:r>
        <w:rPr>
          <w:rFonts w:ascii="Times New Roman" w:cs="Times New Roman" w:eastAsia="Times New Roman" w:hAnsi="Times New Roman"/>
          <w:b/>
          <w:bCs/>
          <w:i w:val="false"/>
          <w:iCs w:val="false"/>
          <w:sz w:val="20"/>
          <w:szCs w:val="20"/>
        </w:rPr>
        <w:t xml:space="preserve">[4]  </w:t>
      </w:r>
      <w:r>
        <w:rPr>
          <w:rFonts w:ascii="Times New Roman" w:cs="Times New Roman" w:eastAsia="Times New Roman" w:hAnsi="Times New Roman"/>
          <w:b w:val="false"/>
          <w:bCs w:val="false"/>
          <w:i w:val="false"/>
          <w:iCs w:val="false"/>
          <w:sz w:val="20"/>
          <w:szCs w:val="20"/>
        </w:rPr>
        <w:t xml:space="preserve">M. Tan and Q. V. Le, "EfficientNet: Rethinking Model Scaling for Convolutional Neural Networks," in Proc. 36th International Conference on Machine Learning (ICML), pp. 6105–6114, 2019.</w:t>
      </w:r>
    </w:p>
    <w:p>
      <w:pPr>
        <w:spacing w:after="60" w:before="60" w:line="276"/>
        <w:jc w:val="both"/>
      </w:pPr>
      <w:r>
        <w:rPr>
          <w:rFonts w:ascii="Times New Roman" w:cs="Times New Roman" w:eastAsia="Times New Roman" w:hAnsi="Times New Roman"/>
          <w:b/>
          <w:bCs/>
          <w:i w:val="false"/>
          <w:iCs w:val="false"/>
          <w:sz w:val="20"/>
          <w:szCs w:val="20"/>
        </w:rPr>
        <w:t xml:space="preserve">[5]  </w:t>
      </w:r>
      <w:r>
        <w:rPr>
          <w:rFonts w:ascii="Times New Roman" w:cs="Times New Roman" w:eastAsia="Times New Roman" w:hAnsi="Times New Roman"/>
          <w:b w:val="false"/>
          <w:bCs w:val="false"/>
          <w:i w:val="false"/>
          <w:iCs w:val="false"/>
          <w:sz w:val="20"/>
          <w:szCs w:val="20"/>
        </w:rPr>
        <w:t xml:space="preserve">F. Chollet, Deep Learning with Python, 2nd ed. Shelter Island, NY: Manning Publications, 2021.</w:t>
      </w:r>
    </w:p>
    <w:p>
      <w:pPr>
        <w:spacing w:after="60" w:before="60" w:line="276"/>
        <w:jc w:val="both"/>
      </w:pPr>
      <w:r>
        <w:rPr>
          <w:rFonts w:ascii="Times New Roman" w:cs="Times New Roman" w:eastAsia="Times New Roman" w:hAnsi="Times New Roman"/>
          <w:b/>
          <w:bCs/>
          <w:i w:val="false"/>
          <w:iCs w:val="false"/>
          <w:sz w:val="20"/>
          <w:szCs w:val="20"/>
        </w:rPr>
        <w:t xml:space="preserve">[6]  </w:t>
      </w:r>
      <w:r>
        <w:rPr>
          <w:rFonts w:ascii="Times New Roman" w:cs="Times New Roman" w:eastAsia="Times New Roman" w:hAnsi="Times New Roman"/>
          <w:b w:val="false"/>
          <w:bCs w:val="false"/>
          <w:i w:val="false"/>
          <w:iCs w:val="false"/>
          <w:sz w:val="20"/>
          <w:szCs w:val="20"/>
        </w:rPr>
        <w:t xml:space="preserve">A. Géron, Hands-On Machine Learning with Scikit-Learn, Keras, and TensorFlow, 3rd ed. Sebastopol, CA: O'Reilly Media, 2022.</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2026-04-24T22:02:09.605Z</dcterms:created>
  <dcterms:modified xsi:type="dcterms:W3CDTF">2026-04-24T22:02:09.606Z</dcterms:modified>
</cp:coreProperties>
</file>

<file path=docProps/custom.xml><?xml version="1.0" encoding="utf-8"?>
<Properties xmlns="http://schemas.openxmlformats.org/officeDocument/2006/custom-properties" xmlns:vt="http://schemas.openxmlformats.org/officeDocument/2006/docPropsVTypes"/>
</file>