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60.png" ContentType="image/png"/>
  <Override PartName="/word/media/rId21.png" ContentType="image/png"/>
  <Override PartName="/word/media/rId25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統計的因果推論</w:t>
      </w:r>
    </w:p>
    <w:p>
      <w:pPr>
        <w:pStyle w:val="Subtitle"/>
      </w:pPr>
      <w:r>
        <w:t xml:space="preserve">労働経済学2</w:t>
      </w:r>
    </w:p>
    <w:p>
      <w:pPr>
        <w:pStyle w:val="Author"/>
      </w:pPr>
      <w:r>
        <w:t xml:space="preserve">川田恵介</w:t>
      </w:r>
    </w:p>
    <w:bookmarkStart w:id="20" w:name="統計的因果推論"/>
    <w:p>
      <w:pPr>
        <w:pStyle w:val="Heading2"/>
      </w:pPr>
      <w:r>
        <w:t xml:space="preserve">統計的因果推論</w:t>
      </w:r>
    </w:p>
    <w:p>
      <w:pPr>
        <w:numPr>
          <w:ilvl w:val="0"/>
          <w:numId w:val="1001"/>
        </w:numPr>
      </w:pPr>
      <w:r>
        <w:t xml:space="preserve">経済理論ととともに、今日的な統計的因果推論の中核的な手法</w:t>
      </w:r>
    </w:p>
    <w:p>
      <w:pPr>
        <w:numPr>
          <w:ilvl w:val="0"/>
          <w:numId w:val="1001"/>
        </w:numPr>
      </w:pPr>
      <w:r>
        <w:t xml:space="preserve">ある介入(最低賃金の増額)が、結果（新規就職件数）に与える因果効果</w:t>
      </w:r>
    </w:p>
    <w:p>
      <w:pPr>
        <w:numPr>
          <w:ilvl w:val="0"/>
          <w:numId w:val="1001"/>
        </w:numPr>
      </w:pPr>
      <w:r>
        <w:t xml:space="preserve">その他の要因の影響からどう区別するか？</w:t>
      </w:r>
    </w:p>
    <w:p>
      <w:pPr>
        <w:numPr>
          <w:ilvl w:val="1"/>
          <w:numId w:val="1002"/>
        </w:numPr>
      </w:pPr>
      <w:r>
        <w:t xml:space="preserve">介入の決まり方を推論する (DesignBasedApproach)</w:t>
      </w:r>
    </w:p>
    <w:p>
      <w:pPr>
        <w:numPr>
          <w:ilvl w:val="1"/>
          <w:numId w:val="1002"/>
        </w:numPr>
      </w:pPr>
      <w:r>
        <w:t xml:space="preserve">結果の決まり方を推論する (OutcomeModelingApproach)</w:t>
      </w:r>
    </w:p>
    <w:bookmarkEnd w:id="20"/>
    <w:bookmarkStart w:id="24" w:name="例-図書館---犯罪"/>
    <w:p>
      <w:pPr>
        <w:pStyle w:val="Heading2"/>
      </w:pPr>
      <w:r>
        <w:t xml:space="preserve">例: 図書館 - 犯罪</w:t>
      </w:r>
    </w:p>
    <w:p>
      <w:pPr>
        <w:numPr>
          <w:ilvl w:val="0"/>
          <w:numId w:val="1003"/>
        </w:numPr>
        <w:pStyle w:val="Compact"/>
      </w:pPr>
      <w:r>
        <w:t xml:space="preserve">文化施設（図書館）を増やすと、犯罪を減らせるか？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lide09Wor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例-図書館---犯罪-1"/>
    <w:p>
      <w:pPr>
        <w:pStyle w:val="Heading2"/>
      </w:pPr>
      <w:r>
        <w:t xml:space="preserve">例: 図書館 - 犯罪</w:t>
      </w:r>
    </w:p>
    <w:p>
      <w:pPr>
        <w:numPr>
          <w:ilvl w:val="0"/>
          <w:numId w:val="1004"/>
        </w:numPr>
        <w:pStyle w:val="Compact"/>
      </w:pPr>
      <w:r>
        <w:t xml:space="preserve">文化施設（図書館）を増やすと、犯罪を減らせるか？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09Word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9" w:name="designbasedapproach"/>
    <w:p>
      <w:pPr>
        <w:pStyle w:val="Heading1"/>
      </w:pPr>
      <w:r>
        <w:t xml:space="preserve">DesignBasedApproach</w:t>
      </w:r>
    </w:p>
    <w:p>
      <w:pPr>
        <w:numPr>
          <w:ilvl w:val="0"/>
          <w:numId w:val="1005"/>
        </w:numPr>
      </w:pPr>
      <w:r>
        <w:t xml:space="preserve">代表的戦略は、Random Treatment Assignment のもつ性質を用いる</w:t>
      </w:r>
    </w:p>
    <w:p>
      <w:pPr>
        <w:numPr>
          <w:ilvl w:val="1"/>
          <w:numId w:val="1006"/>
        </w:numPr>
        <w:pStyle w:val="Compact"/>
      </w:pPr>
      <w:r>
        <w:t xml:space="preserve">ランダム化対照実験: RCT</w:t>
      </w:r>
    </w:p>
    <w:p>
      <w:pPr>
        <w:numPr>
          <w:ilvl w:val="0"/>
          <w:numId w:val="1005"/>
        </w:numPr>
      </w:pPr>
      <w:r>
        <w:t xml:space="preserve">現実世界においてRCTに近い状況を見つける: 自然実験</w:t>
      </w:r>
    </w:p>
    <w:bookmarkStart w:id="29" w:name="concept-対照実験"/>
    <w:p>
      <w:pPr>
        <w:pStyle w:val="Heading2"/>
      </w:pPr>
      <w:r>
        <w:t xml:space="preserve">Concept: 対照実験</w:t>
      </w:r>
    </w:p>
    <w:p>
      <w:pPr>
        <w:numPr>
          <w:ilvl w:val="0"/>
          <w:numId w:val="1007"/>
        </w:numPr>
      </w:pPr>
      <w:r>
        <w:t xml:space="preserve">Controlled Trial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同じ</w:t>
      </w:r>
      <w:r>
        <w:t xml:space="preserve">事例を複数用意して、関心のある特徴 (Treatment) のみ変え、関心のある結果 (Outcome) を比べる。</w:t>
      </w:r>
    </w:p>
    <w:p>
      <w:pPr>
        <w:numPr>
          <w:ilvl w:val="1"/>
          <w:numId w:val="1008"/>
        </w:numPr>
      </w:pPr>
      <w:r>
        <w:t xml:space="preserve">同じビーカーに同じ量の純水を入れ、同じ火力で熱し、沸騰までの時間を比較する。 ただし片方にのみ塩を入れる</w:t>
      </w:r>
    </w:p>
    <w:p>
      <w:pPr>
        <w:numPr>
          <w:ilvl w:val="1"/>
          <w:numId w:val="1008"/>
        </w:numPr>
      </w:pPr>
      <w:r>
        <w:t xml:space="preserve">差をもたらしうる要因が、Treatmentのみにする</w:t>
      </w:r>
    </w:p>
    <w:p>
      <w:pPr>
        <w:numPr>
          <w:ilvl w:val="0"/>
          <w:numId w:val="1007"/>
        </w:numPr>
      </w:pPr>
      <w:r>
        <w:t xml:space="preserve">多くの応用事例: まったく同じ事例が見つからない | ない | わからない</w:t>
      </w:r>
    </w:p>
    <w:bookmarkEnd w:id="29"/>
    <w:bookmarkStart w:id="30" w:name="ランダム化対照実験rct"/>
    <w:p>
      <w:pPr>
        <w:pStyle w:val="Heading2"/>
      </w:pPr>
      <w:r>
        <w:t xml:space="preserve">ランダム化対照実験(RCT)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</w:t>
      </w:r>
      <w:r>
        <w:t xml:space="preserve">andomized</w:t>
      </w:r>
      <w:r>
        <w:t xml:space="preserve"> </w:t>
      </w:r>
      <w:r>
        <w:rPr>
          <w:bCs/>
          <w:b/>
        </w:rPr>
        <w:t xml:space="preserve">C</w:t>
      </w:r>
      <w:r>
        <w:t xml:space="preserve">ontrolled</w:t>
      </w:r>
      <w:r>
        <w:t xml:space="preserve"> </w:t>
      </w:r>
      <w:r>
        <w:rPr>
          <w:bCs/>
          <w:b/>
        </w:rPr>
        <w:t xml:space="preserve">T</w:t>
      </w:r>
      <w:r>
        <w:t xml:space="preserve">rial</w:t>
      </w:r>
    </w:p>
    <w:p>
      <w:pPr>
        <w:numPr>
          <w:ilvl w:val="0"/>
          <w:numId w:val="1009"/>
        </w:numPr>
      </w:pPr>
      <w:r>
        <w:t xml:space="preserve">ランダムサンプリングが持つ性質を利用し、近似的な対照実験を行う</w:t>
      </w:r>
    </w:p>
    <w:p>
      <w:pPr>
        <w:numPr>
          <w:ilvl w:val="0"/>
          <w:numId w:val="1009"/>
        </w:numPr>
      </w:pPr>
      <w:r>
        <w:t xml:space="preserve">研究課題・データ収集過程を工夫する</w:t>
      </w:r>
    </w:p>
    <w:p>
      <w:pPr>
        <w:numPr>
          <w:ilvl w:val="0"/>
          <w:numId w:val="1010"/>
        </w:numPr>
      </w:pPr>
      <w:r>
        <w:t xml:space="preserve">関心となるOutcomeとTreatmentを定める</w:t>
      </w:r>
    </w:p>
    <w:p>
      <w:pPr>
        <w:numPr>
          <w:ilvl w:val="0"/>
          <w:numId w:val="1010"/>
        </w:numPr>
      </w:pPr>
      <w:r>
        <w:t xml:space="preserve">実験参加者（被験者）を集める</w:t>
      </w:r>
    </w:p>
    <w:p>
      <w:pPr>
        <w:numPr>
          <w:ilvl w:val="0"/>
          <w:numId w:val="1010"/>
        </w:numPr>
      </w:pPr>
      <w:r>
        <w:t xml:space="preserve">Treatmentの水準を</w:t>
      </w:r>
      <w:r>
        <w:rPr>
          <w:bCs/>
          <w:b/>
        </w:rPr>
        <w:t xml:space="preserve">研究者</w:t>
      </w:r>
      <w:r>
        <w:t xml:space="preserve">が被験者間でランダムに決める</w:t>
      </w:r>
    </w:p>
    <w:bookmarkEnd w:id="30"/>
    <w:bookmarkStart w:id="31" w:name="例-stats-campの効果"/>
    <w:p>
      <w:pPr>
        <w:pStyle w:val="Heading2"/>
      </w:pPr>
      <w:r>
        <w:t xml:space="preserve">例: Stats Campの効果</w:t>
      </w:r>
    </w:p>
    <w:p>
      <w:pPr>
        <w:numPr>
          <w:ilvl w:val="0"/>
          <w:numId w:val="1011"/>
        </w:numPr>
      </w:pPr>
      <w:r>
        <w:t xml:space="preserve">大学卒業生・中退者のデータから</w:t>
      </w:r>
    </w:p>
    <w:p>
      <w:pPr>
        <w:numPr>
          <w:ilvl w:val="1"/>
          <w:numId w:val="1012"/>
        </w:numPr>
      </w:pPr>
      <m:oMath>
        <m:r>
          <m:t>Y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留年したかどうか ,</w:t>
      </w:r>
      <w:r>
        <w:t xml:space="preserve"> </w:t>
      </w:r>
      <m:oMath>
        <m:r>
          <m:t>D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入学前の春休みにおける”Stats Camp”</w:t>
      </w:r>
    </w:p>
    <w:p>
      <w:pPr>
        <w:numPr>
          <w:ilvl w:val="1"/>
          <w:numId w:val="1012"/>
        </w:numPr>
      </w:pPr>
      <m:oMath>
        <m:r>
          <m:t>Y</m:t>
        </m:r>
        <m:r>
          <m:rPr>
            <m:sty m:val="p"/>
          </m:rPr>
          <m:t>:</m:t>
        </m:r>
      </m:oMath>
      <w:r>
        <w:t xml:space="preserve"> </w:t>
      </w:r>
      <w:r>
        <w:t xml:space="preserve">Outcome,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</m:oMath>
      <w:r>
        <w:t xml:space="preserve"> </w:t>
      </w:r>
      <w:r>
        <w:t xml:space="preserve">Treatment</w:t>
      </w:r>
    </w:p>
    <w:p>
      <w:pPr>
        <w:numPr>
          <w:ilvl w:val="0"/>
          <w:numId w:val="1011"/>
        </w:numPr>
      </w:pPr>
      <w:r>
        <w:t xml:space="preserve">関心: Stats Camp参加・不参加者間での留年経験の差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</w:p>
    <w:bookmarkEnd w:id="31"/>
    <w:bookmarkStart w:id="32" w:name="シンプルなrct"/>
    <w:p>
      <w:pPr>
        <w:pStyle w:val="Heading2"/>
      </w:pPr>
      <w:r>
        <w:t xml:space="preserve">シンプルなRCT</w:t>
      </w:r>
    </w:p>
    <w:p>
      <w:pPr>
        <w:numPr>
          <w:ilvl w:val="0"/>
          <w:numId w:val="1013"/>
        </w:numPr>
      </w:pPr>
      <w:r>
        <w:t xml:space="preserve">新入生から”被験者”を集める</w:t>
      </w:r>
    </w:p>
    <w:p>
      <w:pPr>
        <w:numPr>
          <w:ilvl w:val="0"/>
          <w:numId w:val="1013"/>
        </w:numPr>
      </w:pPr>
      <w:r>
        <w:t xml:space="preserve">被験者を</w:t>
      </w:r>
      <w:r>
        <w:rPr>
          <w:bCs/>
          <w:b/>
        </w:rPr>
        <w:t xml:space="preserve">ランダム</w:t>
      </w:r>
      <w:r>
        <w:t xml:space="preserve">にグループに分割する</w:t>
      </w:r>
    </w:p>
    <w:p>
      <w:pPr>
        <w:numPr>
          <w:ilvl w:val="0"/>
          <w:numId w:val="1013"/>
        </w:numPr>
      </w:pPr>
      <w:r>
        <w:t xml:space="preserve">グループ間の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差を、</w:t>
      </w:r>
      <w:r>
        <w:rPr>
          <w:bCs/>
          <w:b/>
        </w:rPr>
        <w:t xml:space="preserve">母集団における差を推定する手法</w:t>
      </w:r>
      <w:r>
        <w:t xml:space="preserve">で推定する</w:t>
      </w:r>
    </w:p>
    <w:p>
      <w:pPr>
        <w:numPr>
          <w:ilvl w:val="0"/>
          <w:numId w:val="1014"/>
        </w:numPr>
      </w:pPr>
      <w:r>
        <w:t xml:space="preserve">グループ間での偶然の偏りは、通常の信頼区間で捉えられる</w:t>
      </w:r>
    </w:p>
    <w:p>
      <w:pPr>
        <w:numPr>
          <w:ilvl w:val="1"/>
          <w:numId w:val="1015"/>
        </w:numPr>
        <w:pStyle w:val="Compact"/>
      </w:pPr>
      <w:r>
        <w:t xml:space="preserve">保守的な結果になる</w:t>
      </w:r>
    </w:p>
    <w:bookmarkEnd w:id="32"/>
    <w:bookmarkStart w:id="33" w:name="例"/>
    <w:p>
      <w:pPr>
        <w:pStyle w:val="Heading2"/>
      </w:pPr>
      <w:r>
        <w:t xml:space="preserve">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StataCampに参加した場合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StataCampに参加しなかった場合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本当の平均効果</w:t>
      </w:r>
      <w:r>
        <w:t xml:space="preserve"> </w:t>
      </w:r>
      <m:oMath>
        <m:r>
          <m:rPr>
            <m:sty m:val="p"/>
          </m:rPr>
          <m:t>=</m:t>
        </m:r>
        <m:r>
          <m:t>1</m:t>
        </m:r>
      </m:oMath>
    </w:p>
    <w:bookmarkEnd w:id="33"/>
    <w:bookmarkStart w:id="34" w:name="例-1"/>
    <w:p>
      <w:pPr>
        <w:pStyle w:val="Heading2"/>
      </w:pPr>
      <w:r>
        <w:t xml:space="preserve">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StataCampに参加した場合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StataCampに参加しなかった場合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4"/>
    <w:bookmarkStart w:id="38" w:name="例-参加者-4"/>
    <w:p>
      <w:pPr>
        <w:pStyle w:val="Heading2"/>
      </w:pPr>
      <w:r>
        <w:t xml:space="preserve">例: 参加者 =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09Word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例-参加者-200"/>
    <w:p>
      <w:pPr>
        <w:pStyle w:val="Heading2"/>
      </w:pPr>
      <w:r>
        <w:t xml:space="preserve">例: 参加者 = 200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lide09Word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例-参加者-200-1"/>
    <w:p>
      <w:pPr>
        <w:pStyle w:val="Heading2"/>
      </w:pPr>
      <w:r>
        <w:t xml:space="preserve">例: 参加者 = 200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lide09Wor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自然実験"/>
    <w:p>
      <w:pPr>
        <w:pStyle w:val="Heading2"/>
      </w:pPr>
      <w:r>
        <w:t xml:space="preserve">自然実験</w:t>
      </w:r>
    </w:p>
    <w:p>
      <w:pPr>
        <w:numPr>
          <w:ilvl w:val="0"/>
          <w:numId w:val="1017"/>
        </w:numPr>
      </w:pPr>
      <w:r>
        <w:t xml:space="preserve">本当に実験できるケースは限られている</w:t>
      </w:r>
    </w:p>
    <w:p>
      <w:pPr>
        <w:numPr>
          <w:ilvl w:val="0"/>
          <w:numId w:val="1017"/>
        </w:numPr>
      </w:pPr>
      <w:r>
        <w:t xml:space="preserve">現実世界においても”条件付き”で実験的な状況は存在する = (自然実験)</w:t>
      </w:r>
    </w:p>
    <w:p>
      <w:pPr>
        <w:numPr>
          <w:ilvl w:val="1"/>
          <w:numId w:val="1018"/>
        </w:numPr>
        <w:pStyle w:val="Compact"/>
      </w:pPr>
      <w:r>
        <w:t xml:space="preserve">同じ</w:t>
      </w:r>
      <m:oMath>
        <m:r>
          <m:t>X</m:t>
        </m:r>
      </m:oMath>
      <w:r>
        <w:t xml:space="preserve">内では、介入</w:t>
      </w:r>
      <m:oMath>
        <m:r>
          <m:t>D</m:t>
        </m:r>
      </m:oMath>
      <w:r>
        <w:t xml:space="preserve">はランダムに決まっている</w:t>
      </w:r>
    </w:p>
    <w:p>
      <w:pPr>
        <w:numPr>
          <w:ilvl w:val="0"/>
          <w:numId w:val="1017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を推定し、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を計算すればOK</w:t>
      </w:r>
    </w:p>
    <w:p>
      <w:pPr>
        <w:numPr>
          <w:ilvl w:val="1"/>
          <w:numId w:val="1019"/>
        </w:numPr>
        <w:pStyle w:val="Compact"/>
      </w:pPr>
      <w:r>
        <w:t xml:space="preserve">OLSは一つの選択肢</w:t>
      </w:r>
    </w:p>
    <w:bookmarkEnd w:id="47"/>
    <w:bookmarkStart w:id="48" w:name="例-life-event-effect"/>
    <w:p>
      <w:pPr>
        <w:pStyle w:val="Heading2"/>
      </w:pPr>
      <w:r>
        <w:t xml:space="preserve">例: Life-Event Effect</w:t>
      </w:r>
    </w:p>
    <w:p>
      <w:pPr>
        <w:numPr>
          <w:ilvl w:val="0"/>
          <w:numId w:val="1020"/>
        </w:numPr>
      </w:pPr>
      <w:r>
        <w:t xml:space="preserve">人生経験は、個人の価値観にどのような影響を与えるか？</w:t>
      </w:r>
    </w:p>
    <w:p>
      <w:pPr>
        <w:numPr>
          <w:ilvl w:val="0"/>
          <w:numId w:val="1020"/>
        </w:numPr>
      </w:pPr>
      <w:r>
        <w:t xml:space="preserve">例: 第一子として”女の子”を育てた経験</w:t>
      </w:r>
    </w:p>
    <w:p>
      <w:pPr>
        <w:numPr>
          <w:ilvl w:val="1"/>
          <w:numId w:val="1021"/>
        </w:numPr>
      </w:pPr>
      <w:r>
        <w:t xml:space="preserve">子供がいる世帯内であれば？</w:t>
      </w:r>
    </w:p>
    <w:p>
      <w:pPr>
        <w:numPr>
          <w:ilvl w:val="1"/>
          <w:numId w:val="102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女</m:t>
            </m:r>
            <m:r>
              <m:t>の</m:t>
            </m:r>
            <m:r>
              <m:t>子</m:t>
            </m:r>
            <m:r>
              <m:rPr>
                <m:sty m:val="p"/>
              </m:rPr>
              <m:t>,</m:t>
            </m:r>
            <m:r>
              <m:t>子</m:t>
            </m:r>
            <m:r>
              <m:t>供</m:t>
            </m:r>
            <m:r>
              <m:t>が</m:t>
            </m:r>
            <m:r>
              <m:t>い</m:t>
            </m:r>
            <m:r>
              <m:t>る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男</m:t>
            </m:r>
            <m:r>
              <m:t>の</m:t>
            </m:r>
            <m:r>
              <m:t>子</m:t>
            </m:r>
            <m:r>
              <m:rPr>
                <m:sty m:val="p"/>
              </m:rPr>
              <m:t>,</m:t>
            </m:r>
            <m:r>
              <m:t>子</m:t>
            </m:r>
            <m:r>
              <m:t>供</m:t>
            </m:r>
            <m:r>
              <m:t>が</m:t>
            </m:r>
            <m:r>
              <m:t>い</m:t>
            </m:r>
            <m:r>
              <m:t>る</m:t>
            </m:r>
          </m:e>
        </m:d>
      </m:oMath>
    </w:p>
    <w:bookmarkEnd w:id="48"/>
    <w:bookmarkEnd w:id="49"/>
    <w:bookmarkStart w:id="69" w:name="outcomebasedapproach"/>
    <w:p>
      <w:pPr>
        <w:pStyle w:val="Heading1"/>
      </w:pPr>
      <w:r>
        <w:t xml:space="preserve">OutcomeBasedApproach</w:t>
      </w:r>
    </w:p>
    <w:p>
      <w:pPr>
        <w:numPr>
          <w:ilvl w:val="0"/>
          <w:numId w:val="1022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のより”正確な”推定を目指す</w:t>
      </w:r>
    </w:p>
    <w:p>
      <w:pPr>
        <w:numPr>
          <w:ilvl w:val="1"/>
          <w:numId w:val="1023"/>
        </w:numPr>
        <w:pStyle w:val="Compact"/>
      </w:pPr>
      <m:oMath>
        <m:r>
          <m:t>Y</m:t>
        </m:r>
      </m:oMath>
      <w:r>
        <w:t xml:space="preserve"> </w:t>
      </w:r>
      <w:r>
        <w:t xml:space="preserve">と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双方に影響を与える要因(交絡因子)をモデルに含める</w:t>
      </w:r>
    </w:p>
    <w:bookmarkStart w:id="53" w:name="概念図"/>
    <w:p>
      <w:pPr>
        <w:pStyle w:val="Heading2"/>
      </w:pPr>
      <w:r>
        <w:t xml:space="preserve">概念図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09Word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観察できる要因"/>
    <w:p>
      <w:pPr>
        <w:pStyle w:val="Heading2"/>
      </w:pPr>
      <w:r>
        <w:t xml:space="preserve">観察できる要因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09Word_files/figure-docx/unnamed-chunk-1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観察できる要因-1"/>
    <w:p>
      <w:pPr>
        <w:pStyle w:val="Heading2"/>
      </w:pPr>
      <w:r>
        <w:t xml:space="preserve">観察できる要因</w:t>
      </w:r>
    </w:p>
    <w:p>
      <w:pPr>
        <w:numPr>
          <w:ilvl w:val="0"/>
          <w:numId w:val="1024"/>
        </w:numPr>
        <w:pStyle w:val="Compact"/>
      </w:pPr>
      <w:r>
        <w:t xml:space="preserve">推定式に観察できる要因を加える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×</m:t>
          </m:r>
          <m:r>
            <m:t>D</m:t>
          </m:r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交</m:t>
              </m:r>
              <m:r>
                <m:t>絡</m:t>
              </m:r>
              <m:r>
                <m:t>因</m:t>
              </m:r>
              <m:r>
                <m:t>子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  <m:r>
                <m:t>r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|</m:t>
              </m:r>
              <m:r>
                <m:t>L</m:t>
              </m:r>
              <m:r>
                <m:t>i</m:t>
              </m:r>
              <m:r>
                <m:t>b</m:t>
              </m:r>
              <m:r>
                <m:t>r</m:t>
              </m:r>
              <m:r>
                <m:t>a</m:t>
              </m:r>
              <m:r>
                <m:t>r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t>o</m:t>
              </m:r>
              <m:r>
                <m:t>p</m:t>
              </m:r>
              <m:r>
                <m:t>u</m:t>
              </m:r>
              <m:r>
                <m:t>l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×</m:t>
          </m:r>
          <m:r>
            <m:t>L</m:t>
          </m:r>
          <m:r>
            <m:t>i</m:t>
          </m:r>
          <m:r>
            <m:t>b</m:t>
          </m:r>
          <m:r>
            <m:t>r</m:t>
          </m:r>
          <m:r>
            <m:t>a</m:t>
          </m:r>
          <m:r>
            <m:t>r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P</m:t>
          </m:r>
          <m:r>
            <m:t>o</m:t>
          </m:r>
          <m:r>
            <m:t>p</m:t>
          </m:r>
          <m:r>
            <m:t>u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bookmarkEnd w:id="58"/>
    <w:bookmarkStart w:id="59" w:name="注意点"/>
    <w:p>
      <w:pPr>
        <w:pStyle w:val="Heading2"/>
      </w:pPr>
      <w:r>
        <w:t xml:space="preserve">注意点</w:t>
      </w:r>
    </w:p>
    <w:p>
      <w:pPr>
        <w:numPr>
          <w:ilvl w:val="0"/>
          <w:numId w:val="1025"/>
        </w:numPr>
        <w:pStyle w:val="Compact"/>
      </w:pPr>
      <w:r>
        <w:t xml:space="preserve">一般にモデルの定式化に推定結果は異存する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  <m:r>
                <m:t>r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|</m:t>
              </m:r>
              <m:r>
                <m:t>L</m:t>
              </m:r>
              <m:r>
                <m:t>i</m:t>
              </m:r>
              <m:r>
                <m:t>b</m:t>
              </m:r>
              <m:r>
                <m:t>r</m:t>
              </m:r>
              <m:r>
                <m:t>a</m:t>
              </m:r>
              <m:r>
                <m:t>r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t>o</m:t>
              </m:r>
              <m:r>
                <m:t>p</m:t>
              </m:r>
              <m:r>
                <m:t>u</m:t>
              </m:r>
              <m:r>
                <m:t>l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×</m:t>
          </m:r>
          <m:r>
            <m:t>L</m:t>
          </m:r>
          <m:r>
            <m:t>i</m:t>
          </m:r>
          <m:r>
            <m:t>b</m:t>
          </m:r>
          <m:r>
            <m:t>r</m:t>
          </m:r>
          <m:r>
            <m:t>a</m:t>
          </m:r>
          <m:r>
            <m:t>r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P</m:t>
          </m:r>
          <m:r>
            <m:t>o</m:t>
          </m:r>
          <m:r>
            <m:t>p</m:t>
          </m:r>
          <m:r>
            <m:t>u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P</m:t>
          </m:r>
          <m:r>
            <m:t>o</m:t>
          </m:r>
          <m:r>
            <m:t>p</m:t>
          </m:r>
          <m:r>
            <m:t>u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o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26"/>
        </w:numPr>
      </w:pPr>
      <w:r>
        <w:t xml:space="preserve">結果が異なる</w:t>
      </w:r>
    </w:p>
    <w:p>
      <w:pPr>
        <w:numPr>
          <w:ilvl w:val="0"/>
          <w:numId w:val="1026"/>
        </w:numPr>
      </w:pPr>
      <w:r>
        <w:t xml:space="preserve">シンプルな対応: 二乗項までは含める</w:t>
      </w:r>
    </w:p>
    <w:p>
      <w:pPr>
        <w:numPr>
          <w:ilvl w:val="1"/>
          <w:numId w:val="1027"/>
        </w:numPr>
        <w:pStyle w:val="Compact"/>
      </w:pPr>
      <w:r>
        <w:t xml:space="preserve">多くの発展的な手法が提案されている</w:t>
      </w:r>
    </w:p>
    <w:bookmarkEnd w:id="59"/>
    <w:bookmarkStart w:id="63" w:name="観察できない要因"/>
    <w:p>
      <w:pPr>
        <w:pStyle w:val="Heading2"/>
      </w:pPr>
      <w:r>
        <w:t xml:space="preserve">観察できない要因</w:t>
      </w:r>
    </w:p>
    <w:p>
      <w:pPr>
        <w:numPr>
          <w:ilvl w:val="0"/>
          <w:numId w:val="1028"/>
        </w:numPr>
      </w:pPr>
      <w:r>
        <w:t xml:space="preserve">一般に観察できない交絡因子が存在する</w:t>
      </w:r>
    </w:p>
    <w:p>
      <w:pPr>
        <w:numPr>
          <w:ilvl w:val="1"/>
          <w:numId w:val="1029"/>
        </w:numPr>
        <w:pStyle w:val="Compact"/>
      </w:pPr>
      <w:r>
        <w:t xml:space="preserve">対応が難しい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ide09Word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固定効果"/>
    <w:p>
      <w:pPr>
        <w:pStyle w:val="Heading2"/>
      </w:pPr>
      <w:r>
        <w:t xml:space="preserve">固定効果</w:t>
      </w:r>
    </w:p>
    <w:p>
      <w:pPr>
        <w:numPr>
          <w:ilvl w:val="0"/>
          <w:numId w:val="1030"/>
        </w:numPr>
        <w:pStyle w:val="Compact"/>
      </w:pPr>
      <w:r>
        <w:t xml:space="preserve">観察できない交絡因子「そのものを直接観察できる必要はない」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D</m:t>
              </m:r>
              <m:r>
                <m:rPr>
                  <m:sty m:val="p"/>
                </m:rPr>
                <m:t>=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D</m:t>
              </m:r>
              <m:r>
                <m:rPr>
                  <m:sty m:val="p"/>
                </m:rPr>
                <m:t>=</m:t>
              </m:r>
              <m:r>
                <m:t>d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内で 共通であればいい</w:t>
      </w:r>
    </w:p>
    <w:p>
      <w:pPr>
        <w:numPr>
          <w:ilvl w:val="0"/>
          <w:numId w:val="1031"/>
        </w:numPr>
      </w:pPr>
      <w:r>
        <w:t xml:space="preserve">例:</w:t>
      </w:r>
    </w:p>
    <w:p>
      <w:pPr>
        <w:numPr>
          <w:ilvl w:val="1"/>
          <w:numId w:val="1032"/>
        </w:numPr>
      </w:pPr>
      <w:r>
        <w:t xml:space="preserve">同一地域であれば、地域の歴史は共通 (地域固定効果)</w:t>
      </w:r>
    </w:p>
    <w:p>
      <w:pPr>
        <w:numPr>
          <w:ilvl w:val="1"/>
          <w:numId w:val="1032"/>
        </w:numPr>
      </w:pPr>
      <w:r>
        <w:t xml:space="preserve">同一時点であれば、イベントは共通 (時点固定効果)</w:t>
      </w:r>
    </w:p>
    <w:p>
      <w:pPr>
        <w:numPr>
          <w:ilvl w:val="0"/>
          <w:numId w:val="1031"/>
        </w:numPr>
      </w:pPr>
      <w:r>
        <w:t xml:space="preserve">ただし</w:t>
      </w:r>
      <m:oMath>
        <m:r>
          <m:t>D</m:t>
        </m:r>
      </m:oMath>
      <w:r>
        <w:t xml:space="preserve"> </w:t>
      </w:r>
      <w:r>
        <w:t xml:space="preserve">まで共通だと比較ができない</w:t>
      </w:r>
    </w:p>
    <w:bookmarkEnd w:id="64"/>
    <w:bookmarkStart w:id="65" w:name="パネルデータ"/>
    <w:p>
      <w:pPr>
        <w:pStyle w:val="Heading2"/>
      </w:pPr>
      <w:r>
        <w:t xml:space="preserve">パネルデータ</w:t>
      </w:r>
    </w:p>
    <w:p>
      <w:pPr>
        <w:numPr>
          <w:ilvl w:val="0"/>
          <w:numId w:val="1033"/>
        </w:numPr>
      </w:pPr>
      <w:r>
        <w:t xml:space="preserve">同一地域、個人、企業を継続的に調査</w:t>
      </w:r>
    </w:p>
    <w:p>
      <w:pPr>
        <w:numPr>
          <w:ilvl w:val="1"/>
          <w:numId w:val="1034"/>
        </w:numPr>
      </w:pPr>
      <w:r>
        <w:t xml:space="preserve">同一主体について、複数時点が観察可能</w:t>
      </w:r>
    </w:p>
    <w:p>
      <w:pPr>
        <w:numPr>
          <w:ilvl w:val="1"/>
          <w:numId w:val="1034"/>
        </w:numPr>
      </w:pPr>
      <w:r>
        <w:t xml:space="preserve">調査途中で</w:t>
      </w:r>
      <m:oMath>
        <m:r>
          <m:t>D</m:t>
        </m:r>
      </m:oMath>
      <w:r>
        <w:t xml:space="preserve">が変化する可能性</w:t>
      </w:r>
    </w:p>
    <w:p>
      <w:pPr>
        <w:numPr>
          <w:ilvl w:val="0"/>
          <w:numId w:val="1033"/>
        </w:numPr>
      </w:pPr>
      <w:r>
        <w:t xml:space="preserve">“</w:t>
      </w:r>
      <w:r>
        <w:t xml:space="preserve">仮想的に</w:t>
      </w:r>
      <w:r>
        <w:t xml:space="preserve">”</w:t>
      </w:r>
      <w:r>
        <w:t xml:space="preserve">同一地域、時点内で異なる</w:t>
      </w:r>
      <w:r>
        <w:t xml:space="preserve"> </w:t>
      </w:r>
      <m:oMath>
        <m:r>
          <m:t>D</m:t>
        </m:r>
      </m:oMath>
      <w:r>
        <w:t xml:space="preserve">を比較するモデルを推定できる</w:t>
      </w:r>
    </w:p>
    <w:bookmarkEnd w:id="65"/>
    <w:bookmarkStart w:id="66" w:name="固定効果モデル"/>
    <w:p>
      <w:pPr>
        <w:pStyle w:val="Heading2"/>
      </w:pPr>
      <w:r>
        <w:t xml:space="preserve">固定効果モデル</w:t>
      </w:r>
    </w:p>
    <w:p>
      <w:pPr>
        <w:numPr>
          <w:ilvl w:val="0"/>
          <w:numId w:val="1035"/>
        </w:numPr>
        <w:pStyle w:val="Compact"/>
      </w:pPr>
      <w:r>
        <w:t xml:space="preserve">以下を推定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o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i</m:t>
              </m:r>
              <m:r>
                <m:t>o</m:t>
              </m:r>
              <m:r>
                <m:t>d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r>
            <m:t>D</m:t>
          </m:r>
          <m:r>
            <m:rPr>
              <m:sty m:val="p"/>
            </m:rPr>
            <m:t>+</m:t>
          </m:r>
          <m:r>
            <m:t>R</m:t>
          </m:r>
          <m:r>
            <m:t>e</m:t>
          </m:r>
          <m:r>
            <m:t>g</m:t>
          </m:r>
          <m:r>
            <m:t>i</m:t>
          </m:r>
          <m:r>
            <m:t>o</m:t>
          </m:r>
          <m:r>
            <m:t>n</m:t>
          </m:r>
          <m:r>
            <m:t>D</m:t>
          </m:r>
          <m:r>
            <m:t>u</m:t>
          </m:r>
          <m:r>
            <m:t>m</m:t>
          </m:r>
          <m:r>
            <m:t>m</m:t>
          </m:r>
          <m:r>
            <m:t>y</m:t>
          </m:r>
          <m:r>
            <m:rPr>
              <m:sty m:val="p"/>
            </m:rPr>
            <m:t>+</m:t>
          </m:r>
          <m:r>
            <m:t>P</m:t>
          </m:r>
          <m:r>
            <m:t>e</m:t>
          </m:r>
          <m:r>
            <m:t>r</m:t>
          </m:r>
          <m:r>
            <m:t>i</m:t>
          </m:r>
          <m:r>
            <m:t>o</m:t>
          </m:r>
          <m:r>
            <m:t>d</m:t>
          </m:r>
          <m:r>
            <m:t>D</m:t>
          </m:r>
          <m:r>
            <m:t>u</m:t>
          </m:r>
          <m:r>
            <m:t>m</m:t>
          </m:r>
          <m:r>
            <m:t>m</m:t>
          </m:r>
          <m:r>
            <m:t>y</m:t>
          </m:r>
        </m:oMath>
      </m:oMathPara>
    </w:p>
    <w:p>
      <w:pPr>
        <w:numPr>
          <w:ilvl w:val="0"/>
          <w:numId w:val="1036"/>
        </w:numPr>
        <w:pStyle w:val="Compact"/>
      </w:pPr>
      <w:r>
        <w:t xml:space="preserve">固定効果モデル</w:t>
      </w:r>
    </w:p>
    <w:bookmarkEnd w:id="66"/>
    <w:bookmarkStart w:id="67" w:name="注意点-1"/>
    <w:p>
      <w:pPr>
        <w:pStyle w:val="Heading2"/>
      </w:pPr>
      <w:r>
        <w:t xml:space="preserve">注意点</w:t>
      </w:r>
    </w:p>
    <w:p>
      <w:pPr>
        <w:numPr>
          <w:ilvl w:val="0"/>
          <w:numId w:val="1037"/>
        </w:numPr>
      </w:pPr>
      <w:r>
        <w:t xml:space="preserve">地域、時点固有ではない観察できない交絡因子があるとだめ</w:t>
      </w:r>
    </w:p>
    <w:p>
      <w:pPr>
        <w:numPr>
          <w:ilvl w:val="0"/>
          <w:numId w:val="1037"/>
        </w:numPr>
      </w:pPr>
      <w:r>
        <w:t xml:space="preserve">モデルの定式化に推定結果が依存する</w:t>
      </w:r>
    </w:p>
    <w:p>
      <w:pPr>
        <w:numPr>
          <w:ilvl w:val="1"/>
          <w:numId w:val="1038"/>
        </w:numPr>
        <w:pStyle w:val="Compact"/>
      </w:pPr>
      <w:r>
        <w:t xml:space="preserve">多くの発展的議論</w:t>
      </w:r>
    </w:p>
    <w:bookmarkEnd w:id="67"/>
    <w:bookmarkStart w:id="68" w:name="まとめ"/>
    <w:p>
      <w:pPr>
        <w:pStyle w:val="Heading2"/>
      </w:pPr>
      <w:r>
        <w:t xml:space="preserve">まとめ</w:t>
      </w:r>
    </w:p>
    <w:p>
      <w:pPr>
        <w:numPr>
          <w:ilvl w:val="0"/>
          <w:numId w:val="1039"/>
        </w:numPr>
      </w:pPr>
      <w:r>
        <w:t xml:space="preserve">統計的因果推論は学際的に急速な発展を遂げる</w:t>
      </w:r>
    </w:p>
    <w:p>
      <w:pPr>
        <w:numPr>
          <w:ilvl w:val="0"/>
          <w:numId w:val="1039"/>
        </w:numPr>
      </w:pPr>
      <w:r>
        <w:t xml:space="preserve">実務者からも高い関心</w:t>
      </w:r>
    </w:p>
    <w:p>
      <w:pPr>
        <w:numPr>
          <w:ilvl w:val="1"/>
          <w:numId w:val="1040"/>
        </w:numPr>
        <w:pStyle w:val="Compact"/>
      </w:pPr>
      <w:r>
        <w:t xml:space="preserve">“</w:t>
      </w:r>
      <w:r>
        <w:t xml:space="preserve">経済学部生</w:t>
      </w:r>
      <w:r>
        <w:t xml:space="preserve">”</w:t>
      </w:r>
      <w:r>
        <w:t xml:space="preserve">に比較優位</w:t>
      </w:r>
    </w:p>
    <w:p>
      <w:pPr>
        <w:numPr>
          <w:ilvl w:val="0"/>
          <w:numId w:val="1039"/>
        </w:numPr>
      </w:pPr>
      <w:r>
        <w:t xml:space="preserve">ぜひ継続して勉強してください！！！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統計的因果推論</dc:title>
  <dc:creator>川田恵介</dc:creator>
  <cp:keywords/>
  <dcterms:created xsi:type="dcterms:W3CDTF">2022-11-15T09:58:35Z</dcterms:created>
  <dcterms:modified xsi:type="dcterms:W3CDTF">2022-11-15T09:58:35Z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労働経済学2</vt:lpwstr>
  </property>
  <property fmtid="{D5CDD505-2E9C-101B-9397-08002B2CF9AE}" pid="12" name="toc-title">
    <vt:lpwstr>Table of contents</vt:lpwstr>
  </property>
</Properties>
</file>