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3.png" ContentType="image/png"/>
  <Override PartName="/word/media/rId10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Estimate</w:t>
      </w:r>
      <w:r>
        <w:t xml:space="preserve"> </w:t>
      </w:r>
      <w:r>
        <w:t xml:space="preserve">structural</w:t>
      </w:r>
      <w:r>
        <w:t xml:space="preserve"> </w:t>
      </w:r>
      <w:r>
        <w:t xml:space="preserve">parameter/function</w:t>
      </w:r>
    </w:p>
    <w:p>
      <w:pPr>
        <w:pStyle w:val="Subtitle"/>
      </w:pPr>
      <w:r>
        <w:t xml:space="preserve">機械学習の経済学への応用</w:t>
      </w:r>
    </w:p>
    <w:p>
      <w:pPr>
        <w:pStyle w:val="Author"/>
      </w:pPr>
      <w:r>
        <w:t xml:space="preserve">川田恵介</w:t>
      </w:r>
    </w:p>
    <w:bookmarkStart w:id="20" w:name="goal"/>
    <w:p>
      <w:pPr>
        <w:pStyle w:val="Heading2"/>
      </w:pPr>
      <w:r>
        <w:t xml:space="preserve">Goal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母集団における</w:t>
      </w:r>
      <w:r>
        <w:t xml:space="preserve">条件付き平均差:</w:t>
      </w:r>
      <w:r>
        <w:t xml:space="preserve"> </w:t>
      </w:r>
      <m:oMath>
        <m:r>
          <m:t>τ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d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の</w:t>
      </w:r>
      <w:r>
        <w:rPr>
          <w:bCs/>
          <w:b/>
        </w:rPr>
        <w:t xml:space="preserve">特徴を推論</w:t>
      </w:r>
    </w:p>
    <w:p>
      <w:pPr>
        <w:numPr>
          <w:ilvl w:val="1"/>
          <w:numId w:val="1002"/>
        </w:numPr>
      </w:pPr>
      <w:r>
        <w:t xml:space="preserve">漸近正規性を根拠とした信頼区間推定</w:t>
      </w:r>
    </w:p>
    <w:p>
      <w:pPr>
        <w:numPr>
          <w:ilvl w:val="1"/>
          <w:numId w:val="1002"/>
        </w:numPr>
      </w:pPr>
      <w:r>
        <w:t xml:space="preserve">機械学習を活用した統計モデル依存の緩和</w:t>
      </w:r>
    </w:p>
    <w:p>
      <w:pPr>
        <w:numPr>
          <w:ilvl w:val="1"/>
          <w:numId w:val="1002"/>
        </w:numPr>
      </w:pPr>
      <w:r>
        <w:t xml:space="preserve">セミパラメトリック推定を活用した収束性質の改善</w:t>
      </w:r>
    </w:p>
    <w:bookmarkEnd w:id="20"/>
    <w:bookmarkStart w:id="21" w:name="maingoal"/>
    <w:p>
      <w:pPr>
        <w:pStyle w:val="Heading2"/>
      </w:pPr>
      <w:r>
        <w:t xml:space="preserve">MainGoal</w:t>
      </w:r>
    </w:p>
    <w:p>
      <w:pPr>
        <w:numPr>
          <w:ilvl w:val="0"/>
          <w:numId w:val="1003"/>
        </w:numPr>
      </w:pPr>
      <m:oMath>
        <m:r>
          <m:t>τ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≃</m:t>
        </m:r>
        <m:limLow>
          <m:e>
            <m:limLow>
              <m:e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L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L</m:t>
                    </m:r>
                  </m:sub>
                </m:sSub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記</m:t>
            </m:r>
            <m:r>
              <m:t>述</m:t>
            </m:r>
            <m:r>
              <m:t>モ</m:t>
            </m:r>
            <m:r>
              <m:t>デ</m:t>
            </m:r>
            <m:r>
              <m:t>ル</m:t>
            </m:r>
          </m:lim>
        </m:limLow>
      </m:oMath>
      <w:r>
        <w:t xml:space="preserve"> </w:t>
      </w:r>
      <w:r>
        <w:t xml:space="preserve">の推論</w:t>
      </w:r>
    </w:p>
    <w:p>
      <w:pPr>
        <w:numPr>
          <w:ilvl w:val="0"/>
          <w:numId w:val="1003"/>
        </w:numPr>
      </w:pPr>
      <m:oMath>
        <m:r>
          <m:t>τ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のNonparametric推定 (Tree系統)</w:t>
      </w:r>
    </w:p>
    <w:p>
      <w:pPr>
        <w:numPr>
          <w:ilvl w:val="0"/>
          <w:numId w:val="1003"/>
        </w:numPr>
      </w:pPr>
      <m:oMath>
        <m:r>
          <m:t>τ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,</m:t>
            </m:r>
            <m:limLow>
              <m:e>
                <m:limLow>
                  <m:e>
                    <m:r>
                      <m:t>U</m:t>
                    </m:r>
                  </m:e>
                  <m:lim>
                    <m:r>
                      <m:rPr>
                        <m:sty m:val="p"/>
                      </m:rPr>
                      <m:t>⏟</m:t>
                    </m:r>
                  </m:lim>
                </m:limLow>
              </m:e>
              <m:lim>
                <m:r>
                  <m:t>U</m:t>
                </m:r>
                <m:r>
                  <m:t>n</m:t>
                </m:r>
                <m:r>
                  <m:t>o</m:t>
                </m:r>
                <m:r>
                  <m:t>b</m:t>
                </m:r>
                <m:r>
                  <m:t>s</m:t>
                </m:r>
                <m:r>
                  <m:t>e</m:t>
                </m:r>
                <m:r>
                  <m:t>r</m:t>
                </m:r>
                <m:r>
                  <m:t>v</m:t>
                </m:r>
                <m:r>
                  <m:t>a</m:t>
                </m:r>
                <m:r>
                  <m:t>b</m:t>
                </m:r>
                <m:r>
                  <m:t>l</m:t>
                </m:r>
                <m:r>
                  <m:t>e</m:t>
                </m:r>
              </m:lim>
            </m:limLow>
          </m:e>
        </m:d>
        <m:r>
          <m:rPr>
            <m:sty m:val="p"/>
          </m:rPr>
          <m:t>≃</m:t>
        </m:r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の推論</w:t>
      </w:r>
    </w:p>
    <w:p>
      <w:pPr>
        <w:numPr>
          <w:ilvl w:val="0"/>
          <w:numId w:val="1004"/>
        </w:numPr>
        <w:pStyle w:val="Compact"/>
      </w:pPr>
      <w:r>
        <w:t xml:space="preserve">クロスセクション、および2時点パネル(かつ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がカテゴリ変数)を想定</w:t>
      </w:r>
    </w:p>
    <w:bookmarkEnd w:id="21"/>
    <w:bookmarkStart w:id="22" w:name="とりあえずのゴール"/>
    <w:p>
      <w:pPr>
        <w:pStyle w:val="Heading2"/>
      </w:pPr>
      <w:r>
        <w:t xml:space="preserve">とりあえずのゴール</w:t>
      </w:r>
    </w:p>
    <w:p>
      <w:pPr>
        <w:numPr>
          <w:ilvl w:val="0"/>
          <w:numId w:val="1005"/>
        </w:numPr>
      </w:pPr>
      <w:r>
        <w:t xml:space="preserve">Partial Linear Model</w:t>
      </w:r>
      <w:r>
        <w:t xml:space="preserve"> </w:t>
      </w:r>
      <w:r>
        <w:t xml:space="preserve">(Robinson 1988)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=</m:t>
        </m:r>
        <m:r>
          <m:t>τ</m:t>
        </m:r>
        <m:r>
          <m:rPr>
            <m:sty m:val="p"/>
          </m:rPr>
          <m:t>×</m:t>
        </m:r>
        <m:r>
          <m:t>D</m:t>
        </m:r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の推定</w:t>
      </w:r>
    </w:p>
    <w:p>
      <w:pPr>
        <w:numPr>
          <w:ilvl w:val="0"/>
          <w:numId w:val="1005"/>
        </w:numPr>
      </w:pPr>
      <w:r>
        <w:t xml:space="preserve">Partialling-out推定</w:t>
      </w:r>
    </w:p>
    <w:p>
      <w:pPr>
        <w:numPr>
          <w:ilvl w:val="0"/>
          <w:numId w:val="1006"/>
        </w:numPr>
      </w:pPr>
      <m:oMath>
        <m:r>
          <m:t>Y</m:t>
        </m:r>
        <m:r>
          <m:rPr>
            <m:sty m:val="p"/>
          </m:rPr>
          <m:t>,</m:t>
        </m:r>
        <m:r>
          <m:t>D</m:t>
        </m:r>
      </m:oMath>
      <w:r>
        <w:t xml:space="preserve">の予測モデル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D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を推定（機械学習も可）</w:t>
      </w:r>
    </w:p>
    <w:p>
      <w:pPr>
        <w:numPr>
          <w:ilvl w:val="0"/>
          <w:numId w:val="1006"/>
        </w:numPr>
      </w:pPr>
      <w:r>
        <w:t xml:space="preserve">予測できなかった部分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−</m:t>
        </m:r>
        <m:sSub>
          <m:e>
            <m:r>
              <m:t>f</m:t>
            </m:r>
          </m:e>
          <m:sub>
            <m:r>
              <m:t>D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を抽出し(partialling-out)、 OLSで回帰</w:t>
      </w:r>
    </w:p>
    <w:p>
      <w:pPr>
        <w:numPr>
          <w:ilvl w:val="0"/>
          <w:numId w:val="1006"/>
        </w:numPr>
      </w:pPr>
      <w:r>
        <w:t xml:space="preserve">Robust Standard Errorを計算し、(漸近)信頼区間を形成</w:t>
      </w:r>
    </w:p>
    <w:bookmarkEnd w:id="22"/>
    <w:bookmarkStart w:id="26" w:name="gallary-marginalmeandifference"/>
    <w:p>
      <w:pPr>
        <w:pStyle w:val="Heading2"/>
      </w:pPr>
      <w:r>
        <w:t xml:space="preserve">Gallary: MarginalMeanDifference</w:t>
      </w:r>
    </w:p>
    <w:p>
      <w:pPr>
        <w:numPr>
          <w:ilvl w:val="0"/>
          <w:numId w:val="1007"/>
        </w:numPr>
        <w:pStyle w:val="Compact"/>
      </w:pPr>
      <w:r>
        <w:t xml:space="preserve">Chernozhukov et al. (2018)</w:t>
      </w:r>
      <w:r>
        <w:t xml:space="preserve">,</w:t>
      </w:r>
      <w:r>
        <w:t xml:space="preserve"> </w:t>
      </w:r>
      <w:r>
        <w:t xml:space="preserve">Chernozhukov, Escanciano, et al. (2022)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lide07Docx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gallary-blp"/>
    <w:p>
      <w:pPr>
        <w:pStyle w:val="Heading2"/>
      </w:pPr>
      <w:r>
        <w:t xml:space="preserve">Gallary: BLP</w:t>
      </w:r>
    </w:p>
    <w:p>
      <w:pPr>
        <w:numPr>
          <w:ilvl w:val="0"/>
          <w:numId w:val="1008"/>
        </w:numPr>
        <w:pStyle w:val="Compact"/>
      </w:pPr>
      <w:r>
        <w:t xml:space="preserve">Semenova and Chernozhukov (2021)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lide07Docx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gallary-causaltree"/>
    <w:p>
      <w:pPr>
        <w:pStyle w:val="Heading2"/>
      </w:pPr>
      <w:r>
        <w:t xml:space="preserve">Gallary: CausalTree</w:t>
      </w:r>
    </w:p>
    <w:p>
      <w:pPr>
        <w:numPr>
          <w:ilvl w:val="0"/>
          <w:numId w:val="1009"/>
        </w:numPr>
        <w:pStyle w:val="Compact"/>
      </w:pPr>
      <w:r>
        <w:t xml:space="preserve">Athey and Imbens (2016)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07Docx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gallary-confirmtree"/>
    <w:p>
      <w:pPr>
        <w:pStyle w:val="Heading2"/>
      </w:pPr>
      <w:r>
        <w:t xml:space="preserve">Gallary: ConfirmTree</w:t>
      </w:r>
    </w:p>
    <w:p>
      <w:pPr>
        <w:numPr>
          <w:ilvl w:val="0"/>
          <w:numId w:val="1010"/>
        </w:numPr>
        <w:pStyle w:val="Compact"/>
      </w:pPr>
      <w:r>
        <w:t xml:space="preserve">Athey and Imbens (2016)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ide07Docx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gallary-eviltree"/>
    <w:p>
      <w:pPr>
        <w:pStyle w:val="Heading2"/>
      </w:pPr>
      <w:r>
        <w:t xml:space="preserve">Gallary: EvilTree</w:t>
      </w:r>
    </w:p>
    <w:p>
      <w:pPr>
        <w:numPr>
          <w:ilvl w:val="0"/>
          <w:numId w:val="1011"/>
        </w:numPr>
        <w:pStyle w:val="Compact"/>
      </w:pPr>
      <w:r>
        <w:t xml:space="preserve">Athey and Imbens (2016)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lide07Docx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gallary-randomforest"/>
    <w:p>
      <w:pPr>
        <w:pStyle w:val="Heading2"/>
      </w:pPr>
      <w:r>
        <w:t xml:space="preserve">Gallary: RandomForest</w:t>
      </w:r>
    </w:p>
    <w:p>
      <w:pPr>
        <w:numPr>
          <w:ilvl w:val="0"/>
          <w:numId w:val="1012"/>
        </w:numPr>
        <w:pStyle w:val="Compact"/>
      </w:pPr>
      <w:r>
        <w:t xml:space="preserve">Athey, Tibshirani, and Wager (2019)</w:t>
      </w:r>
      <w:r>
        <w:t xml:space="preserve">,</w:t>
      </w:r>
      <w:r>
        <w:t xml:space="preserve"> </w:t>
      </w:r>
      <w:r>
        <w:t xml:space="preserve">Wager and Athey (2018)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lide07Docx_files/figure-docx/unnamed-chunk-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gallary-rate"/>
    <w:p>
      <w:pPr>
        <w:pStyle w:val="Heading2"/>
      </w:pPr>
      <w:r>
        <w:t xml:space="preserve">Gallary: RATE</w:t>
      </w:r>
    </w:p>
    <w:p>
      <w:pPr>
        <w:numPr>
          <w:ilvl w:val="0"/>
          <w:numId w:val="1013"/>
        </w:numPr>
        <w:pStyle w:val="Compact"/>
      </w:pPr>
      <w:r>
        <w:t xml:space="preserve">Yadlowsky et al. (2021)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lide07Docx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allary-sortedcate"/>
    <w:p>
      <w:pPr>
        <w:pStyle w:val="Heading2"/>
      </w:pPr>
      <w:r>
        <w:t xml:space="preserve">Gallary: SortedCATE</w:t>
      </w:r>
    </w:p>
    <w:p>
      <w:pPr>
        <w:numPr>
          <w:ilvl w:val="0"/>
          <w:numId w:val="1014"/>
        </w:numPr>
        <w:pStyle w:val="Compact"/>
      </w:pPr>
      <w:r>
        <w:t xml:space="preserve">Kallus (2022)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07Docx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gallary-sensitivity"/>
    <w:p>
      <w:pPr>
        <w:pStyle w:val="Heading2"/>
      </w:pPr>
      <w:r>
        <w:t xml:space="preserve">Gallary: Sensitivity</w:t>
      </w:r>
    </w:p>
    <w:p>
      <w:pPr>
        <w:numPr>
          <w:ilvl w:val="0"/>
          <w:numId w:val="1015"/>
        </w:numPr>
        <w:pStyle w:val="Compact"/>
      </w:pPr>
      <w:r>
        <w:t xml:space="preserve">Chernozhukov, Cinelli, et al. (2022)</w:t>
      </w:r>
      <w:r>
        <w:t xml:space="preserve">,</w:t>
      </w:r>
      <w:r>
        <w:t xml:space="preserve"> </w:t>
      </w:r>
      <w:r>
        <w:t xml:space="preserve">Cinelli and Hazlett (2020)</w:t>
      </w:r>
    </w:p>
    <w:p>
      <w:pPr>
        <w:pStyle w:val="SourceCode"/>
      </w:pPr>
      <w:r>
        <w:rPr>
          <w:rStyle w:val="VerbatimChar"/>
        </w:rPr>
        <w:t xml:space="preserve">[1] -0.2900195  8.8491779</w:t>
      </w:r>
    </w:p>
    <w:p>
      <w:pPr>
        <w:pStyle w:val="SourceCode"/>
      </w:pPr>
      <w:r>
        <w:rPr>
          <w:rStyle w:val="VerbatimChar"/>
        </w:rPr>
        <w:t xml:space="preserve">[1] -1.489593 10.048752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lide07Docx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基本方針"/>
    <w:p>
      <w:pPr>
        <w:pStyle w:val="Heading2"/>
      </w:pPr>
      <w:r>
        <w:t xml:space="preserve">基本方針</w:t>
      </w:r>
    </w:p>
    <w:p>
      <w:pPr>
        <w:numPr>
          <w:ilvl w:val="0"/>
          <w:numId w:val="1016"/>
        </w:numPr>
      </w:pPr>
      <w:r>
        <w:t xml:space="preserve">教師付き学習の目標: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</m:rPr>
          <m:t>arg</m:t>
        </m:r>
        <m:r>
          <m:rPr>
            <m:sty m:val="p"/>
          </m:rPr>
          <m:t>min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limLow>
                      <m:e>
                        <m:limLow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  <m:lim>
                            <m:r>
                              <m:rPr>
                                <m:sty m:val="p"/>
                              </m:rPr>
                              <m:t>⏟</m:t>
                            </m:r>
                          </m:lim>
                        </m:limLow>
                      </m:e>
                      <m:lim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k</m:t>
                        </m:r>
                        <m:r>
                          <m:t>B</m:t>
                        </m:r>
                        <m:r>
                          <m:t>o</m:t>
                        </m:r>
                        <m:r>
                          <m:t>x</m:t>
                        </m:r>
                      </m:lim>
                    </m:limLow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17"/>
        </w:numPr>
        <w:pStyle w:val="Compact"/>
      </w:pPr>
      <w:r>
        <w:t xml:space="preserve">OLS: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L</m:t>
            </m:r>
          </m:sub>
        </m:sSub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の不偏推定</w:t>
      </w:r>
    </w:p>
    <w:p>
      <w:pPr>
        <w:numPr>
          <w:ilvl w:val="0"/>
          <w:numId w:val="1016"/>
        </w:numPr>
      </w:pPr>
      <w:r>
        <w:t xml:space="preserve">母分布全体の正確な推定は不可能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推論</w:t>
      </w:r>
      <w:r>
        <w:t xml:space="preserve">”</w:t>
      </w:r>
      <w:r>
        <w:t xml:space="preserve">も困難</w:t>
      </w:r>
    </w:p>
    <w:p>
      <w:pPr>
        <w:numPr>
          <w:ilvl w:val="1"/>
          <w:numId w:val="1018"/>
        </w:numPr>
      </w:pPr>
      <w:r>
        <w:t xml:space="preserve">伝統的推定: 統計モデル定式化への依存</w:t>
      </w:r>
    </w:p>
    <w:p>
      <w:pPr>
        <w:numPr>
          <w:ilvl w:val="1"/>
          <w:numId w:val="1018"/>
        </w:numPr>
      </w:pPr>
      <w:r>
        <w:t xml:space="preserve">機械学習: 漸近性質の悪化</w:t>
      </w:r>
    </w:p>
    <w:p>
      <w:pPr>
        <w:numPr>
          <w:ilvl w:val="0"/>
          <w:numId w:val="1016"/>
        </w:numPr>
      </w:pPr>
      <w:r>
        <w:t xml:space="preserve">分布の</w:t>
      </w:r>
      <w:r>
        <w:rPr>
          <w:bCs/>
          <w:b/>
        </w:rPr>
        <w:t xml:space="preserve">部分的な特徴</w:t>
      </w:r>
      <w:r>
        <w:t xml:space="preserve">のみを推論するのであれば？</w:t>
      </w:r>
    </w:p>
    <w:p>
      <w:pPr>
        <w:numPr>
          <w:ilvl w:val="1"/>
          <w:numId w:val="1019"/>
        </w:numPr>
        <w:pStyle w:val="Compact"/>
      </w:pPr>
      <w:r>
        <w:t xml:space="preserve">社会構造（格差、因果効果など）研究では”十分”</w:t>
      </w:r>
    </w:p>
    <w:bookmarkEnd w:id="59"/>
    <w:bookmarkStart w:id="60" w:name="なぜ十分か"/>
    <w:p>
      <w:pPr>
        <w:pStyle w:val="Heading2"/>
      </w:pPr>
      <w:r>
        <w:t xml:space="preserve">なぜ十分か？</w:t>
      </w:r>
    </w:p>
    <w:p>
      <w:pPr>
        <w:numPr>
          <w:ilvl w:val="0"/>
          <w:numId w:val="1020"/>
        </w:numPr>
      </w:pPr>
      <w:r>
        <w:t xml:space="preserve">“</w:t>
      </w:r>
      <w:r>
        <w:t xml:space="preserve">特定の</w:t>
      </w:r>
      <w:r>
        <w:t xml:space="preserve">”</w:t>
      </w:r>
      <w:r>
        <w:t xml:space="preserve">解釈が可能な母集団の特徴を推定</w:t>
      </w:r>
    </w:p>
    <w:p>
      <w:pPr>
        <w:numPr>
          <w:ilvl w:val="1"/>
          <w:numId w:val="1021"/>
        </w:numPr>
        <w:pStyle w:val="Compact"/>
      </w:pPr>
      <w:r>
        <w:t xml:space="preserve">データの外で決定</w:t>
      </w:r>
    </w:p>
    <w:p>
      <w:pPr>
        <w:numPr>
          <w:ilvl w:val="0"/>
          <w:numId w:val="1020"/>
        </w:numPr>
      </w:pPr>
      <w:r>
        <w:t xml:space="preserve">例: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S</m:t>
            </m:r>
            <m:r>
              <m:t>k</m:t>
            </m:r>
            <m:r>
              <m:t>i</m:t>
            </m:r>
            <m:r>
              <m:t>l</m:t>
            </m:r>
            <m:r>
              <m:t>l</m:t>
            </m:r>
            <m:r>
              <m:rPr>
                <m:sty m:val="p"/>
              </m:rPr>
              <m:t>|</m:t>
            </m:r>
            <m:r>
              <m:t>O</m:t>
            </m:r>
            <m:r>
              <m:t>S</m:t>
            </m:r>
            <m:r>
              <m:rPr>
                <m:sty m:val="p"/>
              </m:rPr>
              <m:t>=</m:t>
            </m:r>
            <m:r>
              <m:t>L</m:t>
            </m:r>
            <m:r>
              <m:t>i</m:t>
            </m:r>
            <m:r>
              <m:t>n</m:t>
            </m:r>
            <m:r>
              <m:t>u</m:t>
            </m:r>
            <m:r>
              <m:t>x</m:t>
            </m:r>
            <m:r>
              <m:rPr>
                <m:sty m:val="p"/>
              </m:rPr>
              <m:t>,</m:t>
            </m:r>
            <m:r>
              <m:t>A</m:t>
            </m:r>
            <m:r>
              <m:t>g</m:t>
            </m:r>
            <m:r>
              <m:t>e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S</m:t>
            </m:r>
            <m:r>
              <m:t>k</m:t>
            </m:r>
            <m:r>
              <m:t>i</m:t>
            </m:r>
            <m:r>
              <m:t>l</m:t>
            </m:r>
            <m:r>
              <m:t>l</m:t>
            </m:r>
            <m:r>
              <m:rPr>
                <m:sty m:val="p"/>
              </m:rPr>
              <m:t>|</m:t>
            </m:r>
            <m:r>
              <m:t>O</m:t>
            </m:r>
            <m:r>
              <m:t>S</m:t>
            </m:r>
            <m:r>
              <m:rPr>
                <m:sty m:val="p"/>
              </m:rPr>
              <m:t>=</m:t>
            </m:r>
            <m:r>
              <m:t>O</m:t>
            </m:r>
            <m:r>
              <m:t>t</m:t>
            </m:r>
            <m:r>
              <m:t>h</m:t>
            </m:r>
            <m:r>
              <m:t>e</m:t>
            </m:r>
            <m:r>
              <m:t>r</m:t>
            </m:r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  <m:r>
              <m:t>g</m:t>
            </m:r>
            <m:r>
              <m:t>e</m:t>
            </m:r>
          </m:e>
        </m:d>
      </m:oMath>
    </w:p>
    <w:p>
      <w:pPr>
        <w:numPr>
          <w:ilvl w:val="1"/>
          <w:numId w:val="1022"/>
        </w:numPr>
      </w:pPr>
      <w:r>
        <w:t xml:space="preserve">使用OS間不平等として解釈可能？</w:t>
      </w:r>
    </w:p>
    <w:p>
      <w:pPr>
        <w:numPr>
          <w:ilvl w:val="1"/>
          <w:numId w:val="1022"/>
        </w:numPr>
      </w:pPr>
      <w:r>
        <w:t xml:space="preserve">使用OSの因果効果として解釈可能？</w:t>
      </w:r>
    </w:p>
    <w:p>
      <w:pPr>
        <w:numPr>
          <w:ilvl w:val="0"/>
          <w:numId w:val="1020"/>
        </w:numPr>
      </w:pPr>
      <w:r>
        <w:t xml:space="preserve">Age は</w:t>
      </w:r>
      <w:r>
        <w:rPr>
          <w:bCs/>
          <w:b/>
        </w:rPr>
        <w:t xml:space="preserve">関心外</w:t>
      </w:r>
      <w:r>
        <w:t xml:space="preserve"> </w:t>
      </w:r>
      <w:r>
        <w:t xml:space="preserve">(Nuisance変数)</w:t>
      </w:r>
    </w:p>
    <w:bookmarkEnd w:id="60"/>
    <w:bookmarkStart w:id="61" w:name="なぜ困難か"/>
    <w:p>
      <w:pPr>
        <w:pStyle w:val="Heading2"/>
      </w:pPr>
      <w:r>
        <w:t xml:space="preserve">なぜ困難か？</w:t>
      </w:r>
    </w:p>
    <w:p>
      <w:pPr>
        <w:numPr>
          <w:ilvl w:val="0"/>
          <w:numId w:val="1023"/>
        </w:numPr>
      </w:pPr>
      <w:r>
        <w:t xml:space="preserve">母平均を完璧に推定することは非現実的</w:t>
      </w:r>
    </w:p>
    <w:p>
      <w:pPr>
        <w:numPr>
          <w:ilvl w:val="1"/>
          <w:numId w:val="1024"/>
        </w:numPr>
        <w:pStyle w:val="Compact"/>
      </w:pPr>
      <w:r>
        <w:t xml:space="preserve">正しいモデルをどれだけ大きなデータ(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無限大)で推定したとしても、一般に正しい値と一致しない</w:t>
      </w:r>
    </w:p>
    <w:bookmarkEnd w:id="61"/>
    <w:bookmarkStart w:id="62" w:name="repeated-sampling-approach"/>
    <w:p>
      <w:pPr>
        <w:pStyle w:val="Heading2"/>
      </w:pPr>
      <w:r>
        <w:t xml:space="preserve">Repeated Sampling Approach</w:t>
      </w:r>
    </w:p>
    <w:p>
      <w:pPr>
        <w:numPr>
          <w:ilvl w:val="0"/>
          <w:numId w:val="1025"/>
        </w:numPr>
      </w:pPr>
      <w:r>
        <w:t xml:space="preserve">諸々の仮定が”正しければ”、</w:t>
      </w:r>
      <w:r>
        <w:t xml:space="preserve">“</w:t>
      </w:r>
      <w:r>
        <w:t xml:space="preserve">信頼区間</w:t>
      </w:r>
      <w:r>
        <w:t xml:space="preserve">”</w:t>
      </w:r>
      <w:r>
        <w:t xml:space="preserve">は形成できる</w:t>
      </w:r>
    </w:p>
    <w:p>
      <w:pPr>
        <w:numPr>
          <w:ilvl w:val="1"/>
          <w:numId w:val="1026"/>
        </w:numPr>
      </w:pPr>
      <w:r>
        <w:t xml:space="preserve">同じ手法で独立したサンプリングを行う大量の”並行世界”を想定</w:t>
      </w:r>
    </w:p>
    <w:p>
      <w:pPr>
        <w:numPr>
          <w:ilvl w:val="1"/>
          <w:numId w:val="1026"/>
        </w:numPr>
      </w:pPr>
      <w:r>
        <w:t xml:space="preserve">多くの世界(95%など)で、真の値を含んだ区間を得られる</w:t>
      </w:r>
    </w:p>
    <w:p>
      <w:pPr>
        <w:numPr>
          <w:ilvl w:val="0"/>
          <w:numId w:val="1025"/>
        </w:numPr>
      </w:pPr>
      <w:r>
        <w:t xml:space="preserve">Moving the GoalPost</w:t>
      </w:r>
    </w:p>
    <w:bookmarkEnd w:id="62"/>
    <w:bookmarkStart w:id="63" w:name="数値例-収束"/>
    <w:p>
      <w:pPr>
        <w:pStyle w:val="Heading2"/>
      </w:pPr>
      <w:r>
        <w:t xml:space="preserve">数値例: 収束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×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rPr>
                  <m:sty m:val="p"/>
                </m:rPr>
                <m:t>=</m:t>
              </m:r>
              <m:r>
                <m:t>0.9</m:t>
              </m:r>
            </m:e>
          </m:d>
        </m:oMath>
      </m:oMathPara>
    </w:p>
    <w:p>
      <w:pPr>
        <w:numPr>
          <w:ilvl w:val="0"/>
          <w:numId w:val="1027"/>
        </w:numPr>
      </w:pPr>
      <m:oMath>
        <m:r>
          <m:t>Y</m:t>
        </m:r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</w:p>
    <w:p>
      <w:pPr>
        <w:numPr>
          <w:ilvl w:val="0"/>
          <w:numId w:val="1027"/>
        </w:numPr>
      </w:pPr>
      <w:r>
        <w:t xml:space="preserve">シナリオ: 最初のサンプルで上振れ(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の上位99%)</w:t>
      </w:r>
    </w:p>
    <w:p>
      <w:pPr>
        <w:numPr>
          <w:ilvl w:val="0"/>
          <w:numId w:val="1027"/>
        </w:numPr>
      </w:pPr>
      <w:r>
        <w:t xml:space="preserve">アルゴリズム: CorrectTree 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0.9</m:t>
            </m:r>
          </m:e>
        </m:d>
      </m:oMath>
      <w:r>
        <w:t xml:space="preserve"> </w:t>
      </w:r>
      <w:r>
        <w:t xml:space="preserve">を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に回帰), WrongTree 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0.5</m:t>
            </m:r>
          </m:e>
        </m:d>
      </m:oMath>
      <w:r>
        <w:t xml:space="preserve"> </w:t>
      </w:r>
      <w:r>
        <w:t xml:space="preserve">を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に回帰), AdaptiveTree (最大2分割, 最小 サンプルサイズ = 5)</w:t>
      </w:r>
    </w:p>
    <w:bookmarkEnd w:id="63"/>
    <w:bookmarkStart w:id="67" w:name="数値例-収束-1"/>
    <w:p>
      <w:pPr>
        <w:pStyle w:val="Heading2"/>
      </w:pPr>
      <w:r>
        <w:t xml:space="preserve">数値例: 収束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07Docx_files/figure-docx/unnamed-chunk-1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なぜ"/>
    <w:p>
      <w:pPr>
        <w:pStyle w:val="Heading2"/>
      </w:pPr>
      <w:r>
        <w:t xml:space="preserve">なぜ？</w:t>
      </w:r>
    </w:p>
    <w:p>
      <w:pPr>
        <w:numPr>
          <w:ilvl w:val="0"/>
          <w:numId w:val="1028"/>
        </w:numPr>
      </w:pPr>
      <w:r>
        <w:t xml:space="preserve">推定するモデルそのものがデータの影響を受けてしまう</w:t>
      </w:r>
    </w:p>
    <w:p>
      <w:pPr>
        <w:numPr>
          <w:ilvl w:val="1"/>
          <w:numId w:val="1029"/>
        </w:numPr>
        <w:pStyle w:val="Compact"/>
      </w:pPr>
      <w:r>
        <w:t xml:space="preserve">予測木において、ハズレ値を少数グループに”隔離”した方が、Fitが改善する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07Docx_files/figure-docx/unnamed-chunk-1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分布-500サンプル"/>
    <w:p>
      <w:pPr>
        <w:pStyle w:val="Heading2"/>
      </w:pPr>
      <w:r>
        <w:t xml:space="preserve">分布: 500サンプル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07Docx_files/figure-docx/unnamed-chunk-1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漸近正規性を用いた信頼区間"/>
    <w:p>
      <w:pPr>
        <w:pStyle w:val="Heading2"/>
      </w:pPr>
      <w:r>
        <w:t xml:space="preserve">漸近正規性を用いた信頼区間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07Docx_files/figure-docx/unnamed-chunk-14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漸近正規性を用いた信頼区間-1"/>
    <w:p>
      <w:pPr>
        <w:pStyle w:val="Heading2"/>
      </w:pPr>
      <w:r>
        <w:t xml:space="preserve">漸近正規性を用いた信頼区間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lide07Docx_files/figure-docx/unnamed-chunk-15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分布-2000サンプル"/>
    <w:p>
      <w:pPr>
        <w:pStyle w:val="Heading2"/>
      </w:pPr>
      <w:r>
        <w:t xml:space="preserve">分布: 2000サンプル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07Docx_files/figure-docx/unnamed-chunk-16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target-estimation"/>
    <w:p>
      <w:pPr>
        <w:pStyle w:val="Heading2"/>
      </w:pPr>
      <w:r>
        <w:t xml:space="preserve">Target Estimation</w:t>
      </w:r>
    </w:p>
    <w:p>
      <w:pPr>
        <w:numPr>
          <w:ilvl w:val="0"/>
          <w:numId w:val="1030"/>
        </w:numPr>
      </w:pPr>
      <w:r>
        <w:t xml:space="preserve">母分布の部分的特徴を推論</w:t>
      </w:r>
    </w:p>
    <w:p>
      <w:pPr>
        <w:numPr>
          <w:ilvl w:val="0"/>
          <w:numId w:val="1030"/>
        </w:numPr>
      </w:pPr>
      <w:r>
        <w:t xml:space="preserve">典型例:</w:t>
      </w:r>
      <w:r>
        <w:t xml:space="preserve"> </w:t>
      </w:r>
      <m:oMath>
        <m:sSub>
          <m:e>
            <m:r>
              <m:t>β</m:t>
            </m:r>
          </m:e>
          <m:sub>
            <m:r>
              <m:t>D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τ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τ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</w:p>
    <w:p>
      <w:pPr>
        <w:numPr>
          <w:ilvl w:val="1"/>
          <w:numId w:val="1031"/>
        </w:numPr>
      </w:pPr>
      <w:r>
        <w:t xml:space="preserve">因果推論: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内でDがランダムに決定されているのであれば、平均効果と解釈可能</w:t>
      </w:r>
    </w:p>
    <w:p>
      <w:pPr>
        <w:numPr>
          <w:ilvl w:val="1"/>
          <w:numId w:val="1031"/>
        </w:numPr>
      </w:pPr>
      <w:r>
        <w:t xml:space="preserve">格差研究: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内平均格差</w:t>
      </w:r>
    </w:p>
    <w:p>
      <w:pPr>
        <w:numPr>
          <w:ilvl w:val="0"/>
          <w:numId w:val="1030"/>
        </w:numPr>
      </w:pPr>
      <w:r>
        <w:t xml:space="preserve">セミパラ推定 with 機械学習を用いることでより頑強に推定可能</w:t>
      </w:r>
    </w:p>
    <w:p>
      <w:pPr>
        <w:numPr>
          <w:ilvl w:val="1"/>
          <w:numId w:val="1032"/>
        </w:numPr>
        <w:pStyle w:val="Compact"/>
      </w:pPr>
      <w:r>
        <w:t xml:space="preserve">Partialling-outはその一例</w:t>
      </w:r>
    </w:p>
    <w:bookmarkEnd w:id="88"/>
    <w:bookmarkStart w:id="89" w:name="plug-in-推定"/>
    <w:p>
      <w:pPr>
        <w:pStyle w:val="Heading2"/>
      </w:pPr>
      <w:r>
        <w:t xml:space="preserve">Plug-in 推定</w:t>
      </w:r>
    </w:p>
    <w:p>
      <w:pPr>
        <w:numPr>
          <w:ilvl w:val="0"/>
          <w:numId w:val="1033"/>
        </w:numPr>
        <w:pStyle w:val="Compact"/>
      </w:pPr>
      <w:r>
        <w:t xml:space="preserve">最も直接な推定方針は以下</w:t>
      </w:r>
    </w:p>
    <w:p>
      <w:pPr>
        <w:numPr>
          <w:ilvl w:val="0"/>
          <w:numId w:val="1034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を推定: ”予測モデル”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</w:p>
    <w:p>
      <w:pPr>
        <w:numPr>
          <w:ilvl w:val="0"/>
          <w:numId w:val="1034"/>
        </w:numPr>
      </w:pPr>
      <w:r>
        <w:t xml:space="preserve">各事例に対して予測モデルを適用し、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を</w:t>
      </w:r>
      <m:oMath>
        <m:sSub>
          <m:e>
            <m:r>
              <m:t>β</m:t>
            </m:r>
          </m:e>
          <m:sub>
            <m:r>
              <m:t>D</m:t>
            </m:r>
          </m:sub>
        </m:sSub>
      </m:oMath>
      <w:r>
        <w:t xml:space="preserve">の推定値とする</w:t>
      </w:r>
    </w:p>
    <w:p>
      <w:pPr>
        <w:numPr>
          <w:ilvl w:val="0"/>
          <w:numId w:val="1035"/>
        </w:numPr>
      </w:pPr>
      <m:oMath>
        <m:r>
          <m:t>Y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X</m:t>
        </m:r>
      </m:oMath>
      <w:r>
        <w:t xml:space="preserve"> </w:t>
      </w:r>
      <w:r>
        <w:t xml:space="preserve">のデータ上での分布(Empirical Distribution)をPlug-inしている</w:t>
      </w:r>
    </w:p>
    <w:p>
      <w:pPr>
        <w:numPr>
          <w:ilvl w:val="1"/>
          <w:numId w:val="1036"/>
        </w:numPr>
        <w:pStyle w:val="Compact"/>
      </w:pPr>
      <w:r>
        <w:t xml:space="preserve">OLSもこの一種: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をOLSで推定</w:t>
      </w:r>
    </w:p>
    <w:bookmarkEnd w:id="89"/>
    <w:bookmarkStart w:id="90" w:name="pluginの問題点"/>
    <w:p>
      <w:pPr>
        <w:pStyle w:val="Heading2"/>
      </w:pPr>
      <w:r>
        <w:t xml:space="preserve">Pluginの問題点</w:t>
      </w:r>
    </w:p>
    <w:p>
      <w:pPr>
        <w:numPr>
          <w:ilvl w:val="0"/>
          <w:numId w:val="1037"/>
        </w:numPr>
      </w:pPr>
      <m:oMath>
        <m:sSub>
          <m:e>
            <m:r>
              <m:t>β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の推論結果は、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D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の推定精度に決定的に依存する</w:t>
      </w:r>
    </w:p>
    <w:p>
      <w:pPr>
        <w:numPr>
          <w:ilvl w:val="1"/>
          <w:numId w:val="1038"/>
        </w:numPr>
      </w:pPr>
      <m:oMath>
        <m:r>
          <m:t>β</m:t>
        </m:r>
      </m:oMath>
      <w:r>
        <w:t xml:space="preserve">の数</w:t>
      </w:r>
      <w:r>
        <w:t xml:space="preserve"> </w:t>
      </w:r>
      <m:oMath>
        <m:r>
          <m:rPr>
            <m:sty m:val="p"/>
          </m:rPr>
          <m:t>&gt;</m:t>
        </m:r>
        <m:r>
          <m:rPr>
            <m:sty m:val="p"/>
          </m:rPr>
          <m:t>&gt;</m:t>
        </m:r>
      </m:oMath>
      <w:r>
        <w:t xml:space="preserve"> </w:t>
      </w:r>
      <w:r>
        <w:t xml:space="preserve">サンプルサイズ、かつ推定モデルが正しければ、OLSでOK</w:t>
      </w:r>
    </w:p>
    <w:p>
      <w:pPr>
        <w:numPr>
          <w:ilvl w:val="1"/>
          <w:numId w:val="1038"/>
        </w:numPr>
      </w:pPr>
      <w:r>
        <w:t xml:space="preserve">ハードルが下がっていない</w:t>
      </w:r>
    </w:p>
    <w:p>
      <w:pPr>
        <w:numPr>
          <w:ilvl w:val="0"/>
          <w:numId w:val="1037"/>
        </w:numPr>
      </w:pPr>
      <w:r>
        <w:t xml:space="preserve">誤定式モデルをOLS推定: 一般に</w:t>
      </w:r>
      <m:oMath>
        <m:sSub>
          <m:e>
            <m:r>
              <m:t>β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は一致性すら満たさない</w:t>
      </w:r>
    </w:p>
    <w:p>
      <w:pPr>
        <w:numPr>
          <w:ilvl w:val="0"/>
          <w:numId w:val="1037"/>
        </w:numPr>
      </w:pPr>
      <w:r>
        <w:t xml:space="preserve">機械学習:</w:t>
      </w:r>
      <w:r>
        <w:t xml:space="preserve"> </w:t>
      </w:r>
      <m:oMath>
        <m:sSub>
          <m:e>
            <m:r>
              <m:t>β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は一致性を満たしうるが、一般に漸近正規性が成り立たない</w:t>
      </w:r>
    </w:p>
    <w:p>
      <w:pPr>
        <w:numPr>
          <w:ilvl w:val="0"/>
          <w:numId w:val="1037"/>
        </w:numPr>
      </w:pPr>
      <w:r>
        <w:t xml:space="preserve">どちらも通常の信頼区間が形成できない</w:t>
      </w:r>
    </w:p>
    <w:bookmarkEnd w:id="90"/>
    <w:bookmarkStart w:id="94" w:name="数値例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07Docx_files/figure-docx/unnamed-chunk-17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数値例-1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07Docx_files/figure-docx/unnamed-chunk-18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research-pipeline"/>
    <w:p>
      <w:pPr>
        <w:pStyle w:val="Heading2"/>
      </w:pPr>
      <w:r>
        <w:t xml:space="preserve">Research PipeLine</w:t>
      </w:r>
    </w:p>
    <w:p>
      <w:pPr>
        <w:pStyle w:val="FirstParagraph"/>
      </w:pPr>
      <w:r>
        <w:t xml:space="preserve">Gruber et al. (2022)</w:t>
      </w: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07Docx_files/figure-docx/unnamed-chunk-19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例-research-pipeline"/>
    <w:p>
      <w:pPr>
        <w:pStyle w:val="Heading2"/>
      </w:pPr>
      <w:r>
        <w:t xml:space="preserve">例: Research PipeLine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Slide07Docx_files/figure-docx/unnamed-chunk-20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07" w:name="まとめ"/>
    <w:p>
      <w:pPr>
        <w:pStyle w:val="Heading2"/>
      </w:pPr>
      <w:r>
        <w:t xml:space="preserve">まとめ</w:t>
      </w:r>
    </w:p>
    <w:p>
      <w:pPr>
        <w:numPr>
          <w:ilvl w:val="0"/>
          <w:numId w:val="1039"/>
        </w:numPr>
      </w:pPr>
      <w:r>
        <w:t xml:space="preserve">限定的なデータから複雑な社会を推論するために工夫を重ねる</w:t>
      </w:r>
    </w:p>
    <w:p>
      <w:pPr>
        <w:numPr>
          <w:ilvl w:val="0"/>
          <w:numId w:val="1039"/>
        </w:numPr>
      </w:pPr>
      <w:r>
        <w:t xml:space="preserve">母集団を用いた論点整理: Estimandは母集団上で定義 (データが変わっても、不変)</w:t>
      </w:r>
    </w:p>
    <w:p>
      <w:pPr>
        <w:numPr>
          <w:ilvl w:val="0"/>
          <w:numId w:val="1039"/>
        </w:numPr>
      </w:pPr>
      <w:r>
        <w:t xml:space="preserve">Principle (原理原則)のある選択: 第３者に説明・再現可能</w:t>
      </w:r>
      <w:r>
        <w:t xml:space="preserve"> </w:t>
      </w:r>
      <w:r>
        <w:t xml:space="preserve">(Urminsky, Hansen, and Chernozhukov, n.d.)</w:t>
      </w:r>
    </w:p>
    <w:p>
      <w:pPr>
        <w:numPr>
          <w:ilvl w:val="1"/>
          <w:numId w:val="1040"/>
        </w:numPr>
        <w:pStyle w:val="Compact"/>
      </w:pPr>
      <w:r>
        <w:t xml:space="preserve">機械学習 + 事前知識 (例</w:t>
      </w:r>
      <w:r>
        <w:t xml:space="preserve"> </w:t>
      </w:r>
      <w:r>
        <w:t xml:space="preserve">VanderWeele (2019)</w:t>
      </w:r>
      <w:r>
        <w:t xml:space="preserve">)</w:t>
      </w:r>
    </w:p>
    <w:p>
      <w:pPr>
        <w:numPr>
          <w:ilvl w:val="0"/>
          <w:numId w:val="1039"/>
        </w:numPr>
      </w:pPr>
      <w:r>
        <w:t xml:space="preserve">教師付き学習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条件つき平均値をBlackBoxな関数として学習するための道具</w:t>
      </w:r>
    </w:p>
    <w:p>
      <w:pPr>
        <w:numPr>
          <w:ilvl w:val="1"/>
          <w:numId w:val="1041"/>
        </w:numPr>
        <w:pStyle w:val="Compact"/>
      </w:pPr>
      <w:r>
        <w:t xml:space="preserve">解釈可能なモデリングを行うためのツールとしては使わない</w:t>
      </w:r>
    </w:p>
    <w:bookmarkEnd w:id="107"/>
    <w:bookmarkStart w:id="134" w:name="reference"/>
    <w:p>
      <w:pPr>
        <w:pStyle w:val="Heading2"/>
      </w:pPr>
      <w:r>
        <w:t xml:space="preserve">Reference</w:t>
      </w:r>
    </w:p>
    <w:bookmarkStart w:id="133" w:name="refs"/>
    <w:bookmarkStart w:id="109" w:name="ref-athey2016"/>
    <w:p>
      <w:pPr>
        <w:pStyle w:val="Bibliography"/>
      </w:pPr>
      <w:r>
        <w:t xml:space="preserve">Athey, Susan, and Guido Imbens. 2016.</w:t>
      </w:r>
      <w:r>
        <w:t xml:space="preserve"> </w:t>
      </w:r>
      <w:r>
        <w:t xml:space="preserve">“Recursive Partitioning for Heterogeneous Causal Effects.”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113 (27): 7353–60.</w:t>
      </w:r>
      <w:r>
        <w:t xml:space="preserve"> </w:t>
      </w:r>
      <w:hyperlink r:id="rId108">
        <w:r>
          <w:rPr>
            <w:rStyle w:val="Hyperlink"/>
          </w:rPr>
          <w:t xml:space="preserve">https://doi.org/10.1073/pnas.1510489113</w:t>
        </w:r>
      </w:hyperlink>
      <w:r>
        <w:t xml:space="preserve">.</w:t>
      </w:r>
    </w:p>
    <w:bookmarkEnd w:id="109"/>
    <w:bookmarkStart w:id="111" w:name="ref-athey2019"/>
    <w:p>
      <w:pPr>
        <w:pStyle w:val="Bibliography"/>
      </w:pPr>
      <w:r>
        <w:t xml:space="preserve">Athey, Susan, Julie Tibshirani, and Stefan Wager. 2019.</w:t>
      </w:r>
      <w:r>
        <w:t xml:space="preserve"> </w:t>
      </w:r>
      <w:r>
        <w:t xml:space="preserve">“Generalized Random Forests.”</w:t>
      </w:r>
      <w:r>
        <w:t xml:space="preserve"> </w:t>
      </w:r>
      <w:r>
        <w:rPr>
          <w:iCs/>
          <w:i/>
        </w:rPr>
        <w:t xml:space="preserve">The Annals of Statistics</w:t>
      </w:r>
      <w:r>
        <w:t xml:space="preserve"> </w:t>
      </w:r>
      <w:r>
        <w:t xml:space="preserve">47 (2): 11481178.</w:t>
      </w:r>
      <w:r>
        <w:t xml:space="preserve"> </w:t>
      </w:r>
      <w:hyperlink r:id="rId110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111"/>
    <w:bookmarkStart w:id="113" w:name="ref-chernozhukov2018"/>
    <w:p>
      <w:pPr>
        <w:pStyle w:val="Bibliography"/>
      </w:pPr>
      <w:r>
        <w:t xml:space="preserve">Chernozhukov, Victor, Denis Chetverikov, Mert Demirer, Esther Duflo, Christian Hansen, Whitney Newey, and James Robins. 2018.</w:t>
      </w:r>
      <w:r>
        <w:t xml:space="preserve"> </w:t>
      </w:r>
      <w:r>
        <w:t xml:space="preserve">“Double/Debiased Machine Learning for Treatment and Structural Parameters.”</w:t>
      </w:r>
      <w:r>
        <w:t xml:space="preserve"> </w:t>
      </w:r>
      <w:r>
        <w:rPr>
          <w:iCs/>
          <w:i/>
        </w:rPr>
        <w:t xml:space="preserve">The Econometrics Journal</w:t>
      </w:r>
      <w:r>
        <w:t xml:space="preserve"> </w:t>
      </w:r>
      <w:r>
        <w:t xml:space="preserve">21 (1): C1C68.</w:t>
      </w:r>
      <w:r>
        <w:t xml:space="preserve"> </w:t>
      </w:r>
      <w:hyperlink r:id="rId112">
        <w:r>
          <w:rPr>
            <w:rStyle w:val="Hyperlink"/>
          </w:rPr>
          <w:t xml:space="preserve">https://doi.org/10.1111/ectj.12097</w:t>
        </w:r>
      </w:hyperlink>
      <w:r>
        <w:t xml:space="preserve">.</w:t>
      </w:r>
    </w:p>
    <w:bookmarkEnd w:id="113"/>
    <w:bookmarkStart w:id="115" w:name="ref-chernozhukov"/>
    <w:p>
      <w:pPr>
        <w:pStyle w:val="Bibliography"/>
      </w:pPr>
      <w:r>
        <w:t xml:space="preserve">Chernozhukov, Victor, Carlos Cinelli, Whitney Newey, Amit Sharma, and Vasilis Syrgkanis. 2022.</w:t>
      </w:r>
      <w:r>
        <w:t xml:space="preserve"> </w:t>
      </w:r>
      <w:r>
        <w:t xml:space="preserve">“Long Story Short: Omitted Variable Bias in Causal Machine Learning.”</w:t>
      </w:r>
      <w:r>
        <w:t xml:space="preserve"> </w:t>
      </w:r>
      <w:hyperlink r:id="rId114">
        <w:r>
          <w:rPr>
            <w:rStyle w:val="Hyperlink"/>
          </w:rPr>
          <w:t xml:space="preserve">https://doi.org/10.3386/w30302</w:t>
        </w:r>
      </w:hyperlink>
      <w:r>
        <w:t xml:space="preserve">.</w:t>
      </w:r>
    </w:p>
    <w:bookmarkEnd w:id="115"/>
    <w:bookmarkStart w:id="117" w:name="ref-chernozhukov2022"/>
    <w:p>
      <w:pPr>
        <w:pStyle w:val="Bibliography"/>
      </w:pPr>
      <w:r>
        <w:t xml:space="preserve">Chernozhukov, Victor, Juan Carlos Escanciano, Hidehiko Ichimura, Whitney K. Newey, and James M. Robins. 2022.</w:t>
      </w:r>
      <w:r>
        <w:t xml:space="preserve"> </w:t>
      </w:r>
      <w:r>
        <w:t xml:space="preserve">“Locally Robust Semiparametric Estimation.”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(4): 1501–35.</w:t>
      </w:r>
      <w:r>
        <w:t xml:space="preserve"> </w:t>
      </w:r>
      <w:hyperlink r:id="rId116">
        <w:r>
          <w:rPr>
            <w:rStyle w:val="Hyperlink"/>
          </w:rPr>
          <w:t xml:space="preserve">https://doi.org/10.3982/ECTA16294</w:t>
        </w:r>
      </w:hyperlink>
      <w:r>
        <w:t xml:space="preserve">.</w:t>
      </w:r>
    </w:p>
    <w:bookmarkEnd w:id="117"/>
    <w:bookmarkStart w:id="118" w:name="ref-cinelli2020"/>
    <w:p>
      <w:pPr>
        <w:pStyle w:val="Bibliography"/>
      </w:pPr>
      <w:r>
        <w:t xml:space="preserve">Cinelli, Carlos, and Chad Hazlett. 2020.</w:t>
      </w:r>
      <w:r>
        <w:t xml:space="preserve"> </w:t>
      </w:r>
      <w:r>
        <w:t xml:space="preserve">“Making Sense of Sensitivity: Extending Omitted Variable Bias.”</w:t>
      </w:r>
      <w:r>
        <w:t xml:space="preserve"> </w:t>
      </w:r>
      <w:r>
        <w:rPr>
          <w:iCs/>
          <w:i/>
        </w:rPr>
        <w:t xml:space="preserve">Journal of the Royal Statistical Society: Series B (Statistical Methodology)</w:t>
      </w:r>
      <w:r>
        <w:t xml:space="preserve"> </w:t>
      </w:r>
      <w:r>
        <w:t xml:space="preserve">82 (1): 39–67.</w:t>
      </w:r>
    </w:p>
    <w:bookmarkEnd w:id="118"/>
    <w:bookmarkStart w:id="120" w:name="ref-gruber2022"/>
    <w:p>
      <w:pPr>
        <w:pStyle w:val="Bibliography"/>
      </w:pPr>
      <w:r>
        <w:t xml:space="preserve">Gruber, Susan, Hana Lee, Rachael Phillips, Martin Ho, and Mark van der Laan. 2022.</w:t>
      </w:r>
      <w:r>
        <w:t xml:space="preserve"> </w:t>
      </w:r>
      <w:r>
        <w:t xml:space="preserve">“Developing a Targeted Learning-Based Statistical Analysis Plan.”</w:t>
      </w:r>
      <w:r>
        <w:t xml:space="preserve"> </w:t>
      </w:r>
      <w:r>
        <w:rPr>
          <w:iCs/>
          <w:i/>
        </w:rPr>
        <w:t xml:space="preserve">Statistics in Biopharmaceutical Research</w:t>
      </w:r>
      <w:r>
        <w:t xml:space="preserve"> </w:t>
      </w:r>
      <w:r>
        <w:t xml:space="preserve">0 (0): 1–8.</w:t>
      </w:r>
      <w:r>
        <w:t xml:space="preserve"> </w:t>
      </w:r>
      <w:hyperlink r:id="rId119">
        <w:r>
          <w:rPr>
            <w:rStyle w:val="Hyperlink"/>
          </w:rPr>
          <w:t xml:space="preserve">https://doi.org/10.1080/19466315.2022.2116104</w:t>
        </w:r>
      </w:hyperlink>
      <w:r>
        <w:t xml:space="preserve">.</w:t>
      </w:r>
    </w:p>
    <w:bookmarkEnd w:id="120"/>
    <w:bookmarkStart w:id="121" w:name="ref-kallus2022"/>
    <w:p>
      <w:pPr>
        <w:pStyle w:val="Bibliography"/>
      </w:pPr>
      <w:r>
        <w:t xml:space="preserve">Kallus, Nathan. 2022.</w:t>
      </w:r>
      <w:r>
        <w:t xml:space="preserve"> </w:t>
      </w:r>
      <w:r>
        <w:t xml:space="preserve">“Treatment Effect Risk: Bounds and Inference.”</w:t>
      </w:r>
      <w:r>
        <w:t xml:space="preserve"> </w:t>
      </w:r>
      <w:r>
        <w:rPr>
          <w:iCs/>
          <w:i/>
        </w:rPr>
        <w:t xml:space="preserve">arXiv Preprint arXiv:2201.05893</w:t>
      </w:r>
      <w:r>
        <w:t xml:space="preserve">.</w:t>
      </w:r>
    </w:p>
    <w:bookmarkEnd w:id="121"/>
    <w:bookmarkStart w:id="123" w:name="ref-robinson1988"/>
    <w:p>
      <w:pPr>
        <w:pStyle w:val="Bibliography"/>
      </w:pPr>
      <w:r>
        <w:t xml:space="preserve">Robinson, P. M. 1988.</w:t>
      </w:r>
      <w:r>
        <w:t xml:space="preserve"> </w:t>
      </w:r>
      <w:r>
        <w:t xml:space="preserve">“Root-n-Consistent Semiparametric Regression.”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56 (4): 931954.</w:t>
      </w:r>
      <w:r>
        <w:t xml:space="preserve"> </w:t>
      </w:r>
      <w:hyperlink r:id="rId122">
        <w:r>
          <w:rPr>
            <w:rStyle w:val="Hyperlink"/>
          </w:rPr>
          <w:t xml:space="preserve">https://doi.org/10.2307/1912705</w:t>
        </w:r>
      </w:hyperlink>
      <w:r>
        <w:t xml:space="preserve">.</w:t>
      </w:r>
    </w:p>
    <w:bookmarkEnd w:id="123"/>
    <w:bookmarkStart w:id="125" w:name="ref-semenova2021"/>
    <w:p>
      <w:pPr>
        <w:pStyle w:val="Bibliography"/>
      </w:pPr>
      <w:r>
        <w:t xml:space="preserve">Semenova, Vira, and Victor Chernozhukov. 2021.</w:t>
      </w:r>
      <w:r>
        <w:t xml:space="preserve"> </w:t>
      </w:r>
      <w:r>
        <w:t xml:space="preserve">“Debiased Machine Learning of Conditional Average Treatment Effects and Other Causal Functions.”</w:t>
      </w:r>
      <w:r>
        <w:t xml:space="preserve"> </w:t>
      </w:r>
      <w:r>
        <w:rPr>
          <w:iCs/>
          <w:i/>
        </w:rPr>
        <w:t xml:space="preserve">The Econometrics Journal</w:t>
      </w:r>
      <w:r>
        <w:t xml:space="preserve"> </w:t>
      </w:r>
      <w:r>
        <w:t xml:space="preserve">24 (2): 264289.</w:t>
      </w:r>
      <w:r>
        <w:t xml:space="preserve"> </w:t>
      </w:r>
      <w:hyperlink r:id="rId124">
        <w:r>
          <w:rPr>
            <w:rStyle w:val="Hyperlink"/>
          </w:rPr>
          <w:t xml:space="preserve">https://doi.org/10.1093/ectj/utaa027</w:t>
        </w:r>
      </w:hyperlink>
      <w:r>
        <w:t xml:space="preserve">.</w:t>
      </w:r>
    </w:p>
    <w:bookmarkEnd w:id="125"/>
    <w:bookmarkStart w:id="127" w:name="ref-urminsky"/>
    <w:p>
      <w:pPr>
        <w:pStyle w:val="Bibliography"/>
      </w:pPr>
      <w:r>
        <w:t xml:space="preserve">Urminsky, Oleg, Christian Hansen, and Victor Chernozhukov. n.d.</w:t>
      </w:r>
      <w:r>
        <w:t xml:space="preserve"> </w:t>
      </w:r>
      <w:r>
        <w:t xml:space="preserve">“The Double-Lasso Method for Principled Variable Selection.”</w:t>
      </w:r>
      <w:r>
        <w:t xml:space="preserve"> </w:t>
      </w:r>
      <w:hyperlink r:id="rId126">
        <w:r>
          <w:rPr>
            <w:rStyle w:val="Hyperlink"/>
          </w:rPr>
          <w:t xml:space="preserve">https://doi.org/10.31234/osf.io/2pema</w:t>
        </w:r>
      </w:hyperlink>
      <w:r>
        <w:t xml:space="preserve">.</w:t>
      </w:r>
    </w:p>
    <w:bookmarkEnd w:id="127"/>
    <w:bookmarkStart w:id="129" w:name="ref-vanderweele2019"/>
    <w:p>
      <w:pPr>
        <w:pStyle w:val="Bibliography"/>
      </w:pPr>
      <w:r>
        <w:t xml:space="preserve">VanderWeele, Tyler J. 2019.</w:t>
      </w:r>
      <w:r>
        <w:t xml:space="preserve"> </w:t>
      </w:r>
      <w:r>
        <w:t xml:space="preserve">“Principles of Confounder Selection.”</w:t>
      </w:r>
      <w:r>
        <w:t xml:space="preserve"> </w:t>
      </w:r>
      <w:r>
        <w:rPr>
          <w:iCs/>
          <w:i/>
        </w:rPr>
        <w:t xml:space="preserve">European Journal of Epidemiology</w:t>
      </w:r>
      <w:r>
        <w:t xml:space="preserve"> </w:t>
      </w:r>
      <w:r>
        <w:t xml:space="preserve">34 (3): 211–19.</w:t>
      </w:r>
      <w:r>
        <w:t xml:space="preserve"> </w:t>
      </w:r>
      <w:hyperlink r:id="rId128">
        <w:r>
          <w:rPr>
            <w:rStyle w:val="Hyperlink"/>
          </w:rPr>
          <w:t xml:space="preserve">https://doi.org/10.1007/s10654-019-00494-6</w:t>
        </w:r>
      </w:hyperlink>
      <w:r>
        <w:t xml:space="preserve">.</w:t>
      </w:r>
    </w:p>
    <w:bookmarkEnd w:id="129"/>
    <w:bookmarkStart w:id="131" w:name="ref-wager2018"/>
    <w:p>
      <w:pPr>
        <w:pStyle w:val="Bibliography"/>
      </w:pPr>
      <w:r>
        <w:t xml:space="preserve">Wager, Stefan, and Susan Athey. 2018.</w:t>
      </w:r>
      <w:r>
        <w:t xml:space="preserve"> </w:t>
      </w:r>
      <w:r>
        <w:t xml:space="preserve">“Estimation and Inference of Heterogeneous Treatment Effects Using Random Forests.”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113 (523): 1228–42.</w:t>
      </w:r>
      <w:r>
        <w:t xml:space="preserve"> </w:t>
      </w:r>
      <w:hyperlink r:id="rId130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131"/>
    <w:bookmarkStart w:id="132" w:name="ref-yadlowsky2021"/>
    <w:p>
      <w:pPr>
        <w:pStyle w:val="Bibliography"/>
      </w:pPr>
      <w:r>
        <w:t xml:space="preserve">Yadlowsky, Steve, Scott Fleming, Nigam Shah, Emma Brunskill, and Stefan Wager. 2021.</w:t>
      </w:r>
      <w:r>
        <w:t xml:space="preserve"> </w:t>
      </w:r>
      <w:r>
        <w:t xml:space="preserve">“Evaluating Treatment Prioritization Rules via Rank-Weighted Average Treatment Effects.”</w:t>
      </w:r>
      <w:r>
        <w:t xml:space="preserve"> </w:t>
      </w:r>
      <w:r>
        <w:rPr>
          <w:iCs/>
          <w:i/>
        </w:rPr>
        <w:t xml:space="preserve">arXiv Preprint arXiv:2111.07966</w:t>
      </w:r>
      <w:r>
        <w:t xml:space="preserve">.</w:t>
      </w:r>
    </w:p>
    <w:bookmarkEnd w:id="132"/>
    <w:bookmarkEnd w:id="133"/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3" Target="media/rId23.png" /><Relationship Type="http://schemas.openxmlformats.org/officeDocument/2006/relationships/image" Id="rId103" Target="media/rId10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128" Target="https://doi.org/10.1007/s10654-019-00494-6" TargetMode="External" /><Relationship Type="http://schemas.openxmlformats.org/officeDocument/2006/relationships/hyperlink" Id="rId108" Target="https://doi.org/10.1073/pnas.1510489113" TargetMode="External" /><Relationship Type="http://schemas.openxmlformats.org/officeDocument/2006/relationships/hyperlink" Id="rId130" Target="https://doi.org/10.1080/01621459.2017.1319839" TargetMode="External" /><Relationship Type="http://schemas.openxmlformats.org/officeDocument/2006/relationships/hyperlink" Id="rId119" Target="https://doi.org/10.1080/19466315.2022.2116104" TargetMode="External" /><Relationship Type="http://schemas.openxmlformats.org/officeDocument/2006/relationships/hyperlink" Id="rId124" Target="https://doi.org/10.1093/ectj/utaa027" TargetMode="External" /><Relationship Type="http://schemas.openxmlformats.org/officeDocument/2006/relationships/hyperlink" Id="rId112" Target="https://doi.org/10.1111/ectj.12097" TargetMode="External" /><Relationship Type="http://schemas.openxmlformats.org/officeDocument/2006/relationships/hyperlink" Id="rId110" Target="https://doi.org/10.1214/18-AOS1709" TargetMode="External" /><Relationship Type="http://schemas.openxmlformats.org/officeDocument/2006/relationships/hyperlink" Id="rId122" Target="https://doi.org/10.2307/1912705" TargetMode="External" /><Relationship Type="http://schemas.openxmlformats.org/officeDocument/2006/relationships/hyperlink" Id="rId126" Target="https://doi.org/10.31234/osf.io/2pema" TargetMode="External" /><Relationship Type="http://schemas.openxmlformats.org/officeDocument/2006/relationships/hyperlink" Id="rId114" Target="https://doi.org/10.3386/w30302" TargetMode="External" /><Relationship Type="http://schemas.openxmlformats.org/officeDocument/2006/relationships/hyperlink" Id="rId116" Target="https://doi.org/10.3982/ECTA162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doi.org/10.1007/s10654-019-00494-6" TargetMode="External" /><Relationship Type="http://schemas.openxmlformats.org/officeDocument/2006/relationships/hyperlink" Id="rId108" Target="https://doi.org/10.1073/pnas.1510489113" TargetMode="External" /><Relationship Type="http://schemas.openxmlformats.org/officeDocument/2006/relationships/hyperlink" Id="rId130" Target="https://doi.org/10.1080/01621459.2017.1319839" TargetMode="External" /><Relationship Type="http://schemas.openxmlformats.org/officeDocument/2006/relationships/hyperlink" Id="rId119" Target="https://doi.org/10.1080/19466315.2022.2116104" TargetMode="External" /><Relationship Type="http://schemas.openxmlformats.org/officeDocument/2006/relationships/hyperlink" Id="rId124" Target="https://doi.org/10.1093/ectj/utaa027" TargetMode="External" /><Relationship Type="http://schemas.openxmlformats.org/officeDocument/2006/relationships/hyperlink" Id="rId112" Target="https://doi.org/10.1111/ectj.12097" TargetMode="External" /><Relationship Type="http://schemas.openxmlformats.org/officeDocument/2006/relationships/hyperlink" Id="rId110" Target="https://doi.org/10.1214/18-AOS1709" TargetMode="External" /><Relationship Type="http://schemas.openxmlformats.org/officeDocument/2006/relationships/hyperlink" Id="rId122" Target="https://doi.org/10.2307/1912705" TargetMode="External" /><Relationship Type="http://schemas.openxmlformats.org/officeDocument/2006/relationships/hyperlink" Id="rId126" Target="https://doi.org/10.31234/osf.io/2pema" TargetMode="External" /><Relationship Type="http://schemas.openxmlformats.org/officeDocument/2006/relationships/hyperlink" Id="rId114" Target="https://doi.org/10.3386/w30302" TargetMode="External" /><Relationship Type="http://schemas.openxmlformats.org/officeDocument/2006/relationships/hyperlink" Id="rId116" Target="https://doi.org/10.3982/ECTA162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structural parameter/function</dc:title>
  <dc:creator>川田恵介</dc:creator>
  <cp:keywords/>
  <dcterms:created xsi:type="dcterms:W3CDTF">2022-11-13T08:52:24Z</dcterms:created>
  <dcterms:modified xsi:type="dcterms:W3CDTF">2022-11-13T08:52:24Z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機械学習の経済学への応用</vt:lpwstr>
  </property>
  <property fmtid="{D5CDD505-2E9C-101B-9397-08002B2CF9AE}" pid="12" name="toc-title">
    <vt:lpwstr>Table of contents</vt:lpwstr>
  </property>
</Properties>
</file>