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22.png" ContentType="image/png"/>
  <Override PartName="/word/media/rId48.png" ContentType="image/png"/>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Stacking/Tips</w:t>
      </w:r>
    </w:p>
    <w:p>
      <w:pPr>
        <w:pStyle w:val="Subtitle"/>
      </w:pPr>
      <w:r>
        <w:t xml:space="preserve">機械学習の経済学への応用</w:t>
      </w:r>
    </w:p>
    <w:p>
      <w:pPr>
        <w:pStyle w:val="Author"/>
      </w:pPr>
      <w:r>
        <w:t xml:space="preserve">川田恵介</w:t>
      </w:r>
    </w:p>
    <w:bookmarkStart w:id="42" w:name="stacking"/>
    <w:p>
      <w:pPr>
        <w:pStyle w:val="Heading1"/>
      </w:pPr>
      <w:r>
        <w:t xml:space="preserve">Stacking</w:t>
      </w:r>
    </w:p>
    <w:bookmarkStart w:id="20" w:name="algorithm-selection"/>
    <w:p>
      <w:pPr>
        <w:pStyle w:val="Heading2"/>
      </w:pPr>
      <w:r>
        <w:t xml:space="preserve">Algorithm Selection</w:t>
      </w:r>
    </w:p>
    <w:p>
      <w:pPr>
        <w:numPr>
          <w:ilvl w:val="0"/>
          <w:numId w:val="1001"/>
        </w:numPr>
      </w:pPr>
      <w:r>
        <w:t xml:space="preserve">多くの有力なアルゴリズム: OLS, LASSO/Ridge/ElasticNet, (Pruned) Tree, RandomForest</w:t>
      </w:r>
    </w:p>
    <w:p>
      <w:pPr>
        <w:numPr>
          <w:ilvl w:val="1"/>
          <w:numId w:val="1002"/>
        </w:numPr>
      </w:pPr>
      <w:r>
        <w:t xml:space="preserve">時間があれば、 Boosting, Bayesian Additive Regression Trees (BART)</w:t>
      </w:r>
    </w:p>
    <w:p>
      <w:pPr>
        <w:numPr>
          <w:ilvl w:val="1"/>
          <w:numId w:val="1002"/>
        </w:numPr>
      </w:pPr>
      <w:r>
        <w:t xml:space="preserve">NeuralNet, DeepLearningも選択肢</w:t>
      </w:r>
    </w:p>
    <w:p>
      <w:pPr>
        <w:numPr>
          <w:ilvl w:val="0"/>
          <w:numId w:val="1001"/>
        </w:numPr>
      </w:pPr>
      <w:r>
        <w:t xml:space="preserve">どれを使う？</w:t>
      </w:r>
    </w:p>
    <w:p>
      <w:pPr>
        <w:numPr>
          <w:ilvl w:val="1"/>
          <w:numId w:val="1003"/>
        </w:numPr>
        <w:pStyle w:val="Compact"/>
      </w:pPr>
      <w:r>
        <w:t xml:space="preserve">CrossValidation (BenchMark Test)</w:t>
      </w:r>
    </w:p>
    <w:p>
      <w:pPr>
        <w:numPr>
          <w:ilvl w:val="0"/>
          <w:numId w:val="1001"/>
        </w:numPr>
      </w:pPr>
      <w:r>
        <w:t xml:space="preserve">Model Aggregation (Stacking) も有力な選択肢</w:t>
      </w:r>
    </w:p>
    <w:bookmarkEnd w:id="20"/>
    <w:bookmarkStart w:id="21" w:name="stacking-1"/>
    <w:p>
      <w:pPr>
        <w:pStyle w:val="Heading2"/>
      </w:pPr>
      <w:r>
        <w:t xml:space="preserve">Stacking</w:t>
      </w:r>
    </w:p>
    <w:p>
      <w:pPr>
        <w:numPr>
          <w:ilvl w:val="0"/>
          <w:numId w:val="1004"/>
        </w:numPr>
      </w:pPr>
      <w:r>
        <w:t xml:space="preserve">複数のアルゴリズムから得られた予測結果の加重平均を最終予測モデル</w:t>
      </w:r>
    </w:p>
    <w:p>
      <w:pPr>
        <w:numPr>
          <w:ilvl w:val="1"/>
          <w:numId w:val="1005"/>
        </w:numPr>
        <w:pStyle w:val="Compact"/>
      </w:pPr>
      <w:r>
        <w:t xml:space="preserve">RandomForest:</w:t>
      </w:r>
      <w:r>
        <w:t xml:space="preserve"> </w:t>
      </w:r>
      <w:r>
        <w:rPr>
          <w:bCs/>
          <w:b/>
        </w:rPr>
        <w:t xml:space="preserve">Tree</w:t>
      </w:r>
      <w:r>
        <w:t xml:space="preserve"> </w:t>
      </w:r>
      <w:r>
        <w:t xml:space="preserve">アルゴリズムから得られた予測結果の</w:t>
      </w:r>
      <w:r>
        <w:rPr>
          <w:bCs/>
          <w:b/>
        </w:rPr>
        <w:t xml:space="preserve">単純</w:t>
      </w:r>
      <w:r>
        <w:t xml:space="preserve">平均</w:t>
      </w:r>
    </w:p>
    <w:p>
      <w:pPr>
        <w:numPr>
          <w:ilvl w:val="0"/>
          <w:numId w:val="1004"/>
        </w:numPr>
      </w:pPr>
      <w:r>
        <w:t xml:space="preserve">最終予測モデル</w:t>
      </w:r>
      <w:r>
        <w:t xml:space="preserve"> </w:t>
      </w:r>
      <m:oMath>
        <m:r>
          <m:t>f</m:t>
        </m:r>
        <m:d>
          <m:dPr>
            <m:begChr m:val="("/>
            <m:endChr m:val=")"/>
            <m:sepChr m:val=""/>
            <m:grow/>
          </m:dPr>
          <m:e>
            <m:r>
              <m:t>X</m:t>
            </m:r>
          </m:e>
        </m:d>
      </m:oMath>
    </w:p>
    <w:p>
      <w:pPr>
        <w:pStyle w:val="FirstParagraph"/>
      </w:pPr>
      <m:oMathPara>
        <m:oMathParaPr>
          <m:jc m:val="center"/>
        </m:oMathParaPr>
        <m:oMath>
          <m:r>
            <m:t>f</m:t>
          </m:r>
          <m:d>
            <m:dPr>
              <m:begChr m:val="("/>
              <m:endChr m:val=")"/>
              <m:sepChr m:val=""/>
              <m:grow/>
            </m:dPr>
            <m:e>
              <m:r>
                <m:t>X</m:t>
              </m:r>
            </m:e>
          </m:d>
          <m:r>
            <m:rPr>
              <m:sty m:val="p"/>
            </m:rPr>
            <m:t>=</m:t>
          </m:r>
          <m:limLow>
            <m:e>
              <m:limLow>
                <m:e>
                  <m:sSub>
                    <m:e>
                      <m:r>
                        <m:t>α</m:t>
                      </m:r>
                    </m:e>
                    <m:sub>
                      <m:r>
                        <m:t>1</m:t>
                      </m:r>
                    </m:sub>
                  </m:sSub>
                </m:e>
                <m:lim>
                  <m:r>
                    <m:rPr>
                      <m:sty m:val="p"/>
                    </m:rPr>
                    <m:t>⏟</m:t>
                  </m:r>
                </m:lim>
              </m:limLow>
            </m:e>
            <m:lim>
              <m:r>
                <m:t>W</m:t>
              </m:r>
              <m:r>
                <m:t>e</m:t>
              </m:r>
              <m:r>
                <m:t>i</m:t>
              </m:r>
              <m:r>
                <m:t>g</m:t>
              </m:r>
              <m:r>
                <m:t>h</m:t>
              </m:r>
              <m:r>
                <m:t>t</m:t>
              </m:r>
            </m:lim>
          </m:limLow>
          <m:r>
            <m:rPr>
              <m:sty m:val="p"/>
            </m:rPr>
            <m:t>×</m:t>
          </m:r>
          <m:limLow>
            <m:e>
              <m:limLow>
                <m:e>
                  <m:sSub>
                    <m:e>
                      <m:r>
                        <m:t>f</m:t>
                      </m:r>
                    </m:e>
                    <m:sub>
                      <m:r>
                        <m:t>1</m:t>
                      </m:r>
                    </m:sub>
                  </m:sSub>
                  <m:d>
                    <m:dPr>
                      <m:begChr m:val="("/>
                      <m:endChr m:val=")"/>
                      <m:sepChr m:val=""/>
                      <m:grow/>
                    </m:dPr>
                    <m:e>
                      <m:r>
                        <m:t>X</m:t>
                      </m:r>
                    </m:e>
                  </m:d>
                </m:e>
                <m:lim>
                  <m:r>
                    <m:rPr>
                      <m:sty m:val="p"/>
                    </m:rPr>
                    <m:t>⏟</m:t>
                  </m:r>
                </m:lim>
              </m:limLow>
            </m:e>
            <m:lim>
              <m:r>
                <m:t>個</m:t>
              </m:r>
              <m:r>
                <m:t>別</m:t>
              </m:r>
              <m:r>
                <m:t>の</m:t>
              </m:r>
              <m:r>
                <m:t>予</m:t>
              </m:r>
              <m:r>
                <m:t>測</m:t>
              </m:r>
              <m:r>
                <m:t>値</m:t>
              </m:r>
            </m:lim>
          </m:limLow>
          <m:r>
            <m:rPr>
              <m:sty m:val="p"/>
            </m:rPr>
            <m:t>+</m:t>
          </m:r>
          <m:r>
            <m:rPr>
              <m:sty m:val="p"/>
            </m:rPr>
            <m:t>.</m:t>
          </m:r>
          <m:r>
            <m:rPr>
              <m:sty m:val="p"/>
            </m:rPr>
            <m:t>.</m:t>
          </m:r>
          <m:r>
            <m:rPr>
              <m:sty m:val="p"/>
            </m:rPr>
            <m:t>+</m:t>
          </m:r>
          <m:sSub>
            <m:e>
              <m:r>
                <m:t>α</m:t>
              </m:r>
            </m:e>
            <m:sub>
              <m:r>
                <m:t>L</m:t>
              </m:r>
            </m:sub>
          </m:sSub>
          <m:r>
            <m:rPr>
              <m:sty m:val="p"/>
            </m:rPr>
            <m:t>×</m:t>
          </m:r>
          <m:sSub>
            <m:e>
              <m:r>
                <m:t>f</m:t>
              </m:r>
            </m:e>
            <m:sub>
              <m:r>
                <m:t>L</m:t>
              </m:r>
            </m:sub>
          </m:sSub>
          <m:d>
            <m:dPr>
              <m:begChr m:val="("/>
              <m:endChr m:val=")"/>
              <m:sepChr m:val=""/>
              <m:grow/>
            </m:dPr>
            <m:e>
              <m:r>
                <m:t>X</m:t>
              </m:r>
            </m:e>
          </m:d>
        </m:oMath>
      </m:oMathPara>
    </w:p>
    <w:bookmarkEnd w:id="21"/>
    <w:bookmarkStart w:id="25" w:name="アルゴリズム"/>
    <w:p>
      <w:pPr>
        <w:pStyle w:val="Heading2"/>
      </w:pPr>
      <w:r>
        <w:t xml:space="preserve">アルゴリズム</w:t>
      </w:r>
    </w:p>
    <w:p>
      <w:pPr>
        <w:pStyle w:val="FirstParagraph"/>
      </w:pPr>
      <w:r>
        <w:drawing>
          <wp:inline>
            <wp:extent cx="5334000" cy="3093720"/>
            <wp:effectExtent b="0" l="0" r="0" t="0"/>
            <wp:docPr descr="" title="" id="23" name="Picture"/>
            <a:graphic>
              <a:graphicData uri="http://schemas.openxmlformats.org/drawingml/2006/picture">
                <pic:pic>
                  <pic:nvPicPr>
                    <pic:cNvPr descr="Slide06PDF_files/figure-docx/unnamed-chunk-2-1.png" id="24" name="Picture"/>
                    <pic:cNvPicPr>
                      <a:picLocks noChangeArrowheads="1" noChangeAspect="1"/>
                    </pic:cNvPicPr>
                  </pic:nvPicPr>
                  <pic:blipFill>
                    <a:blip r:embed="rId22"/>
                    <a:stretch>
                      <a:fillRect/>
                    </a:stretch>
                  </pic:blipFill>
                  <pic:spPr bwMode="auto">
                    <a:xfrm>
                      <a:off x="0" y="0"/>
                      <a:ext cx="5334000" cy="3093720"/>
                    </a:xfrm>
                    <a:prstGeom prst="rect">
                      <a:avLst/>
                    </a:prstGeom>
                    <a:noFill/>
                    <a:ln w="9525">
                      <a:noFill/>
                      <a:headEnd/>
                      <a:tailEnd/>
                    </a:ln>
                  </pic:spPr>
                </pic:pic>
              </a:graphicData>
            </a:graphic>
          </wp:inline>
        </w:drawing>
      </w:r>
    </w:p>
    <w:bookmarkEnd w:id="25"/>
    <w:bookmarkStart w:id="26" w:name="optimal-weight"/>
    <w:p>
      <w:pPr>
        <w:pStyle w:val="Heading2"/>
      </w:pPr>
      <w:r>
        <w:t xml:space="preserve">Optimal Weight</w:t>
      </w:r>
    </w:p>
    <w:p>
      <w:pPr>
        <w:numPr>
          <w:ilvl w:val="0"/>
          <w:numId w:val="1006"/>
        </w:numPr>
        <w:pStyle w:val="Compact"/>
      </w:pPr>
      <w:r>
        <w:t xml:space="preserve">例えば以下をOLS推定を行うことで、Weightを推定</w:t>
      </w:r>
    </w:p>
    <w:p>
      <w:pPr>
        <w:pStyle w:val="FirstParagraph"/>
      </w:pPr>
      <m:oMathPara>
        <m:oMathParaPr>
          <m:jc m:val="center"/>
        </m:oMathParaPr>
        <m:oMath>
          <m:sSub>
            <m:e>
              <m:r>
                <m:t>Y</m:t>
              </m:r>
            </m:e>
            <m:sub>
              <m:r>
                <m:t>i</m:t>
              </m:r>
            </m:sub>
          </m:sSub>
          <m:r>
            <m:rPr>
              <m:sty m:val="p"/>
            </m:rPr>
            <m:t>=</m:t>
          </m:r>
          <m:sSub>
            <m:e>
              <m:r>
                <m:t>α</m:t>
              </m:r>
            </m:e>
            <m:sub>
              <m:r>
                <m:t>1</m:t>
              </m:r>
            </m:sub>
          </m:sSub>
          <m:r>
            <m:rPr>
              <m:sty m:val="p"/>
            </m:rPr>
            <m:t>×</m:t>
          </m:r>
          <m:sSubSup>
            <m:e>
              <m:r>
                <m:t>f</m:t>
              </m:r>
            </m:e>
            <m:sub>
              <m:r>
                <m:t>1</m:t>
              </m:r>
            </m:sub>
            <m:sup>
              <m:r>
                <m:rPr>
                  <m:sty m:val="p"/>
                </m:rPr>
                <m:t>−</m:t>
              </m:r>
              <m:r>
                <m:t>i</m:t>
              </m:r>
            </m:sup>
          </m:sSubSup>
          <m:d>
            <m:dPr>
              <m:begChr m:val="("/>
              <m:endChr m:val=")"/>
              <m:sepChr m:val=""/>
              <m:grow/>
            </m:dPr>
            <m:e>
              <m:sSub>
                <m:e>
                  <m:r>
                    <m:t>X</m:t>
                  </m:r>
                </m:e>
                <m:sub>
                  <m:r>
                    <m:t>i</m:t>
                  </m:r>
                </m:sub>
              </m:sSub>
            </m:e>
          </m:d>
          <m:r>
            <m:rPr>
              <m:sty m:val="p"/>
            </m:rPr>
            <m:t>+</m:t>
          </m:r>
          <m:sSub>
            <m:e>
              <m:r>
                <m:t>α</m:t>
              </m:r>
            </m:e>
            <m:sub>
              <m:r>
                <m:t>2</m:t>
              </m:r>
            </m:sub>
          </m:sSub>
          <m:r>
            <m:rPr>
              <m:sty m:val="p"/>
            </m:rPr>
            <m:t>×</m:t>
          </m:r>
          <m:sSubSup>
            <m:e>
              <m:r>
                <m:t>f</m:t>
              </m:r>
            </m:e>
            <m:sub>
              <m:r>
                <m:t>2</m:t>
              </m:r>
            </m:sub>
            <m:sup>
              <m:r>
                <m:rPr>
                  <m:sty m:val="p"/>
                </m:rPr>
                <m:t>−</m:t>
              </m:r>
              <m:r>
                <m:t>i</m:t>
              </m:r>
            </m:sup>
          </m:sSubSup>
          <m:d>
            <m:dPr>
              <m:begChr m:val="("/>
              <m:endChr m:val=")"/>
              <m:sepChr m:val=""/>
              <m:grow/>
            </m:dPr>
            <m:e>
              <m:sSub>
                <m:e>
                  <m:r>
                    <m:t>X</m:t>
                  </m:r>
                </m:e>
                <m:sub>
                  <m:r>
                    <m:t>i</m:t>
                  </m:r>
                </m:sub>
              </m:sSub>
            </m:e>
          </m:d>
          <m:r>
            <m:rPr>
              <m:sty m:val="p"/>
            </m:rPr>
            <m:t>+</m:t>
          </m:r>
          <m:sSub>
            <m:e>
              <m:r>
                <m:t>u</m:t>
              </m:r>
            </m:e>
            <m:sub>
              <m:r>
                <m:t>i</m:t>
              </m:r>
            </m:sub>
          </m:sSub>
        </m:oMath>
      </m:oMathPara>
    </w:p>
    <w:p>
      <w:pPr>
        <w:numPr>
          <w:ilvl w:val="0"/>
          <w:numId w:val="1007"/>
        </w:numPr>
      </w:pPr>
      <m:oMath>
        <m:sSubSup>
          <m:e>
            <m:r>
              <m:t>f</m:t>
            </m:r>
          </m:e>
          <m:sub>
            <m:r>
              <m:t>l</m:t>
            </m:r>
          </m:sub>
          <m:sup>
            <m:r>
              <m:rPr>
                <m:sty m:val="p"/>
              </m:rPr>
              <m:t>−</m:t>
            </m:r>
            <m:r>
              <m:t>i</m:t>
            </m:r>
          </m:sup>
        </m:sSubSup>
      </m:oMath>
      <w:r>
        <w:t xml:space="preserve"> </w:t>
      </w:r>
      <w:r>
        <w:t xml:space="preserve">: アルゴリズム</w:t>
      </w:r>
      <w:r>
        <w:t xml:space="preserve"> </w:t>
      </w:r>
      <m:oMath>
        <m:r>
          <m:t>l</m:t>
        </m:r>
      </m:oMath>
      <w:r>
        <w:t xml:space="preserve"> </w:t>
      </w:r>
      <w:r>
        <w:t xml:space="preserve">、事例</w:t>
      </w:r>
      <w:r>
        <w:t xml:space="preserve"> </w:t>
      </w:r>
      <m:oMath>
        <m:r>
          <m:t>i</m:t>
        </m:r>
      </m:oMath>
      <w:r>
        <w:t xml:space="preserve"> </w:t>
      </w:r>
      <w:r>
        <w:t xml:space="preserve">を</w:t>
      </w:r>
      <w:r>
        <w:rPr>
          <w:bCs/>
          <w:b/>
        </w:rPr>
        <w:t xml:space="preserve">含まない</w:t>
      </w:r>
      <w:r>
        <w:t xml:space="preserve">データで推定された予測値</w:t>
      </w:r>
    </w:p>
    <w:p>
      <w:pPr>
        <w:numPr>
          <w:ilvl w:val="0"/>
          <w:numId w:val="1007"/>
        </w:numPr>
      </w:pPr>
      <w:r>
        <w:t xml:space="preserve">交差推定が利用可能</w:t>
      </w:r>
    </w:p>
    <w:bookmarkEnd w:id="26"/>
    <w:bookmarkStart w:id="27" w:name="theoretical-guarantee"/>
    <w:p>
      <w:pPr>
        <w:pStyle w:val="Heading2"/>
      </w:pPr>
      <w:r>
        <w:t xml:space="preserve">Theoretical Guarantee</w:t>
      </w:r>
    </w:p>
    <w:p>
      <w:pPr>
        <w:numPr>
          <w:ilvl w:val="0"/>
          <w:numId w:val="1008"/>
        </w:numPr>
      </w:pPr>
      <w:r>
        <w:t xml:space="preserve">Le and Clarke (2022)</w:t>
      </w:r>
      <w:r>
        <w:t xml:space="preserve"> </w:t>
      </w:r>
      <w:r>
        <w:t xml:space="preserve">: 個々のアルゴリズムと比べて、 Stackingは</w:t>
      </w:r>
      <w:r>
        <w:rPr>
          <w:bCs/>
          <w:b/>
        </w:rPr>
        <w:t xml:space="preserve">漸近的</w:t>
      </w:r>
      <w:r>
        <w:t xml:space="preserve">に性能が良い</w:t>
      </w:r>
    </w:p>
    <w:p>
      <w:pPr>
        <w:numPr>
          <w:ilvl w:val="1"/>
          <w:numId w:val="1009"/>
        </w:numPr>
        <w:pStyle w:val="Compact"/>
      </w:pPr>
      <w:r>
        <w:t xml:space="preserve">モデル選択ではなく、集計を推奨</w:t>
      </w:r>
    </w:p>
    <w:bookmarkEnd w:id="27"/>
    <w:bookmarkStart w:id="29" w:name="practical-suggession"/>
    <w:p>
      <w:pPr>
        <w:pStyle w:val="Heading2"/>
      </w:pPr>
      <w:r>
        <w:t xml:space="preserve">Practical Suggession</w:t>
      </w:r>
    </w:p>
    <w:p>
      <w:pPr>
        <w:numPr>
          <w:ilvl w:val="0"/>
          <w:numId w:val="1010"/>
        </w:numPr>
      </w:pPr>
      <w:r>
        <w:t xml:space="preserve">実践上では、微妙な改善に改善にとどまることが多いが、致命的な誤選択を避けれる</w:t>
      </w:r>
    </w:p>
    <w:p>
      <w:pPr>
        <w:numPr>
          <w:ilvl w:val="0"/>
          <w:numId w:val="1010"/>
        </w:numPr>
      </w:pPr>
      <w:r>
        <w:t xml:space="preserve">因果推論への応用でも強く推奨される (例えば</w:t>
      </w:r>
      <w:r>
        <w:t xml:space="preserve"> </w:t>
      </w:r>
      <w:r>
        <w:t xml:space="preserve">Vansteelandt and Dukes (2022)</w:t>
      </w:r>
      <w:r>
        <w:t xml:space="preserve"> </w:t>
      </w:r>
      <w:r>
        <w:t xml:space="preserve">をめぐる</w:t>
      </w:r>
      <w:hyperlink r:id="rId28">
        <w:r>
          <w:rPr>
            <w:rStyle w:val="Hyperlink"/>
          </w:rPr>
          <w:t xml:space="preserve">Discussion</w:t>
        </w:r>
      </w:hyperlink>
      <w:r>
        <w:t xml:space="preserve">)</w:t>
      </w:r>
    </w:p>
    <w:bookmarkEnd w:id="29"/>
    <w:bookmarkStart w:id="30" w:name="例"/>
    <w:p>
      <w:pPr>
        <w:pStyle w:val="Heading2"/>
      </w:pPr>
      <w:r>
        <w:t xml:space="preserve">例</w:t>
      </w:r>
    </w:p>
    <w:p>
      <w:pPr>
        <w:numPr>
          <w:ilvl w:val="0"/>
          <w:numId w:val="1011"/>
        </w:numPr>
      </w:pPr>
      <m:oMath>
        <m:r>
          <m:t>Y</m:t>
        </m:r>
        <m:r>
          <m:rPr>
            <m:sty m:val="p"/>
          </m:rPr>
          <m:t>=</m:t>
        </m:r>
        <m:r>
          <m:t>D</m:t>
        </m:r>
        <m:r>
          <m:rPr>
            <m:sty m:val="p"/>
          </m:rPr>
          <m:t>+</m:t>
        </m:r>
        <m:r>
          <m:t>2</m:t>
        </m:r>
        <m:r>
          <m:rPr>
            <m:sty m:val="p"/>
          </m:rPr>
          <m:t>×</m:t>
        </m:r>
        <m:r>
          <m:t>I</m:t>
        </m:r>
        <m:d>
          <m:dPr>
            <m:begChr m:val="("/>
            <m:endChr m:val=")"/>
            <m:sepChr m:val=""/>
            <m:grow/>
          </m:dPr>
          <m:e>
            <m:r>
              <m:t>X</m:t>
            </m:r>
            <m:r>
              <m:rPr>
                <m:sty m:val="p"/>
              </m:rPr>
              <m:t>&gt;</m:t>
            </m:r>
            <m:r>
              <m:rPr>
                <m:sty m:val="p"/>
              </m:rPr>
              <m:t>=</m:t>
            </m:r>
            <m:r>
              <m:t>0.5</m:t>
            </m:r>
          </m:e>
        </m:d>
        <m:r>
          <m:rPr>
            <m:sty m:val="p"/>
          </m:rPr>
          <m:t>+</m:t>
        </m:r>
        <m:sSup>
          <m:e>
            <m:r>
              <m:t>X</m:t>
            </m:r>
          </m:e>
          <m:sup>
            <m:r>
              <m:t>2</m:t>
            </m:r>
          </m:sup>
        </m:sSup>
        <m:r>
          <m:rPr>
            <m:sty m:val="p"/>
          </m:rPr>
          <m:t>+</m:t>
        </m:r>
        <m:limLow>
          <m:e>
            <m:limLow>
              <m:e>
                <m:r>
                  <m:t>u</m:t>
                </m:r>
              </m:e>
              <m:lim>
                <m:r>
                  <m:rPr>
                    <m:sty m:val="p"/>
                  </m:rPr>
                  <m:t>⏟</m:t>
                </m:r>
              </m:lim>
            </m:limLow>
          </m:e>
          <m:lim>
            <m:r>
              <m:t>N</m:t>
            </m:r>
            <m:d>
              <m:dPr>
                <m:begChr m:val="("/>
                <m:endChr m:val=")"/>
                <m:sepChr m:val=""/>
                <m:grow/>
              </m:dPr>
              <m:e>
                <m:r>
                  <m:t>0</m:t>
                </m:r>
                <m:r>
                  <m:rPr>
                    <m:sty m:val="p"/>
                  </m:rPr>
                  <m:t>,</m:t>
                </m:r>
                <m:r>
                  <m:t>1</m:t>
                </m:r>
              </m:e>
            </m:d>
          </m:lim>
        </m:limLow>
      </m:oMath>
    </w:p>
    <w:p>
      <w:pPr>
        <w:numPr>
          <w:ilvl w:val="0"/>
          <w:numId w:val="1011"/>
        </w:numPr>
      </w:pPr>
      <w:r>
        <w:t xml:space="preserve">SimulationWrong = X,D,Xの二乗項を用いる</w:t>
      </w:r>
    </w:p>
    <w:p>
      <w:pPr>
        <w:numPr>
          <w:ilvl w:val="0"/>
          <w:numId w:val="1011"/>
        </w:numPr>
      </w:pPr>
      <w:r>
        <w:t xml:space="preserve">SimulationCollect = X,D,Xの二乗項、</w:t>
      </w:r>
      <m:oMath>
        <m:r>
          <m:t>X</m:t>
        </m:r>
        <m:r>
          <m:rPr>
            <m:sty m:val="p"/>
          </m:rPr>
          <m:t>≥</m:t>
        </m:r>
        <m:r>
          <m:t>0.5</m:t>
        </m:r>
      </m:oMath>
      <w:r>
        <w:t xml:space="preserve"> </w:t>
      </w:r>
      <w:r>
        <w:t xml:space="preserve">ダミーを入れる</w:t>
      </w:r>
    </w:p>
    <w:p>
      <w:pPr>
        <w:numPr>
          <w:ilvl w:val="0"/>
          <w:numId w:val="1011"/>
        </w:numPr>
      </w:pPr>
      <w:r>
        <w:t xml:space="preserve">OLSと OLSとRandomForestのStackingを比較</w:t>
      </w:r>
    </w:p>
    <w:bookmarkEnd w:id="30"/>
    <w:bookmarkStart w:id="31" w:name="benchmark"/>
    <w:p>
      <w:pPr>
        <w:pStyle w:val="Heading2"/>
      </w:pPr>
      <w:r>
        <w:t xml:space="preserve">BenchMark</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task_id</w:t>
            </w:r>
          </w:p>
        </w:tc>
        <w:tc>
          <w:tcPr/>
          <w:p>
            <w:pPr>
              <w:pStyle w:val="Compact"/>
              <w:jc w:val="left"/>
            </w:pPr>
            <w:r>
              <w:t xml:space="preserve">learner_id</w:t>
            </w:r>
          </w:p>
        </w:tc>
        <w:tc>
          <w:tcPr/>
          <w:p>
            <w:pPr>
              <w:pStyle w:val="Compact"/>
              <w:jc w:val="right"/>
            </w:pPr>
            <w:r>
              <w:t xml:space="preserve">regr.rsq</w:t>
            </w:r>
          </w:p>
        </w:tc>
      </w:tr>
      <w:tr>
        <w:tc>
          <w:tcPr/>
          <w:p>
            <w:pPr>
              <w:pStyle w:val="Compact"/>
              <w:jc w:val="left"/>
            </w:pPr>
            <w:r>
              <w:t xml:space="preserve">SimulaitonWrong</w:t>
            </w:r>
          </w:p>
        </w:tc>
        <w:tc>
          <w:tcPr/>
          <w:p>
            <w:pPr>
              <w:pStyle w:val="Compact"/>
              <w:jc w:val="left"/>
            </w:pPr>
            <w:r>
              <w:t xml:space="preserve">regr.lm</w:t>
            </w:r>
          </w:p>
        </w:tc>
        <w:tc>
          <w:tcPr/>
          <w:p>
            <w:pPr>
              <w:pStyle w:val="Compact"/>
              <w:jc w:val="right"/>
            </w:pPr>
            <w:r>
              <w:t xml:space="preserve">0.425</w:t>
            </w:r>
          </w:p>
        </w:tc>
      </w:tr>
      <w:tr>
        <w:tc>
          <w:tcPr/>
          <w:p>
            <w:pPr>
              <w:pStyle w:val="Compact"/>
              <w:jc w:val="left"/>
            </w:pPr>
            <w:r>
              <w:t xml:space="preserve">SimulaitonWrong</w:t>
            </w:r>
          </w:p>
        </w:tc>
        <w:tc>
          <w:tcPr/>
          <w:p>
            <w:pPr>
              <w:pStyle w:val="Compact"/>
              <w:jc w:val="left"/>
            </w:pPr>
            <w:r>
              <w:t xml:space="preserve">regr.ranger</w:t>
            </w:r>
          </w:p>
        </w:tc>
        <w:tc>
          <w:tcPr/>
          <w:p>
            <w:pPr>
              <w:pStyle w:val="Compact"/>
              <w:jc w:val="right"/>
            </w:pPr>
            <w:r>
              <w:t xml:space="preserve">0.420</w:t>
            </w:r>
          </w:p>
        </w:tc>
      </w:tr>
      <w:tr>
        <w:tc>
          <w:tcPr/>
          <w:p>
            <w:pPr>
              <w:pStyle w:val="Compact"/>
              <w:jc w:val="left"/>
            </w:pPr>
            <w:r>
              <w:t xml:space="preserve">SimulaitonWrong</w:t>
            </w:r>
          </w:p>
        </w:tc>
        <w:tc>
          <w:tcPr/>
          <w:p>
            <w:pPr>
              <w:pStyle w:val="Compact"/>
              <w:jc w:val="left"/>
            </w:pPr>
            <w:r>
              <w:t xml:space="preserve">Stacking</w:t>
            </w:r>
          </w:p>
        </w:tc>
        <w:tc>
          <w:tcPr/>
          <w:p>
            <w:pPr>
              <w:pStyle w:val="Compact"/>
              <w:jc w:val="right"/>
            </w:pPr>
            <w:r>
              <w:t xml:space="preserve">0.429</w:t>
            </w:r>
          </w:p>
        </w:tc>
      </w:tr>
      <w:tr>
        <w:tc>
          <w:tcPr/>
          <w:p>
            <w:pPr>
              <w:pStyle w:val="Compact"/>
              <w:jc w:val="left"/>
            </w:pPr>
            <w:r>
              <w:t xml:space="preserve">SimulaitonCollect</w:t>
            </w:r>
          </w:p>
        </w:tc>
        <w:tc>
          <w:tcPr/>
          <w:p>
            <w:pPr>
              <w:pStyle w:val="Compact"/>
              <w:jc w:val="left"/>
            </w:pPr>
            <w:r>
              <w:t xml:space="preserve">regr.lm</w:t>
            </w:r>
          </w:p>
        </w:tc>
        <w:tc>
          <w:tcPr/>
          <w:p>
            <w:pPr>
              <w:pStyle w:val="Compact"/>
              <w:jc w:val="right"/>
            </w:pPr>
            <w:r>
              <w:t xml:space="preserve">0.446</w:t>
            </w:r>
          </w:p>
        </w:tc>
      </w:tr>
      <w:tr>
        <w:tc>
          <w:tcPr/>
          <w:p>
            <w:pPr>
              <w:pStyle w:val="Compact"/>
              <w:jc w:val="left"/>
            </w:pPr>
            <w:r>
              <w:t xml:space="preserve">SimulaitonCollect</w:t>
            </w:r>
          </w:p>
        </w:tc>
        <w:tc>
          <w:tcPr/>
          <w:p>
            <w:pPr>
              <w:pStyle w:val="Compact"/>
              <w:jc w:val="left"/>
            </w:pPr>
            <w:r>
              <w:t xml:space="preserve">regr.ranger</w:t>
            </w:r>
          </w:p>
        </w:tc>
        <w:tc>
          <w:tcPr/>
          <w:p>
            <w:pPr>
              <w:pStyle w:val="Compact"/>
              <w:jc w:val="right"/>
            </w:pPr>
            <w:r>
              <w:t xml:space="preserve">0.408</w:t>
            </w:r>
          </w:p>
        </w:tc>
      </w:tr>
      <w:tr>
        <w:tc>
          <w:tcPr/>
          <w:p>
            <w:pPr>
              <w:pStyle w:val="Compact"/>
              <w:jc w:val="left"/>
            </w:pPr>
            <w:r>
              <w:t xml:space="preserve">SimulaitonCollect</w:t>
            </w:r>
          </w:p>
        </w:tc>
        <w:tc>
          <w:tcPr/>
          <w:p>
            <w:pPr>
              <w:pStyle w:val="Compact"/>
              <w:jc w:val="left"/>
            </w:pPr>
            <w:r>
              <w:t xml:space="preserve">Stacking</w:t>
            </w:r>
          </w:p>
        </w:tc>
        <w:tc>
          <w:tcPr/>
          <w:p>
            <w:pPr>
              <w:pStyle w:val="Compact"/>
              <w:jc w:val="right"/>
            </w:pPr>
            <w:r>
              <w:t xml:space="preserve">0.411</w:t>
            </w:r>
          </w:p>
        </w:tc>
      </w:tr>
    </w:tbl>
    <w:bookmarkEnd w:id="31"/>
    <w:bookmarkStart w:id="35" w:name="estimated-ols-model-5000"/>
    <w:p>
      <w:pPr>
        <w:pStyle w:val="Heading2"/>
      </w:pPr>
      <w:r>
        <w:t xml:space="preserve">Estimated OLS Model (5000)</w:t>
      </w:r>
    </w:p>
    <w:p>
      <w:pPr>
        <w:pStyle w:val="FirstParagraph"/>
      </w:pPr>
      <w:r>
        <w:drawing>
          <wp:inline>
            <wp:extent cx="5334000" cy="4267200"/>
            <wp:effectExtent b="0" l="0" r="0" t="0"/>
            <wp:docPr descr="" title="" id="33" name="Picture"/>
            <a:graphic>
              <a:graphicData uri="http://schemas.openxmlformats.org/drawingml/2006/picture">
                <pic:pic>
                  <pic:nvPicPr>
                    <pic:cNvPr descr="Slide06PDF_files/figure-docx/ResultOLS-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9" w:name="estimated-stacking-model-5000"/>
    <w:p>
      <w:pPr>
        <w:pStyle w:val="Heading2"/>
      </w:pPr>
      <w:r>
        <w:t xml:space="preserve">Estimated Stacking Model (5000)</w:t>
      </w:r>
    </w:p>
    <w:p>
      <w:pPr>
        <w:pStyle w:val="FirstParagraph"/>
      </w:pPr>
      <w:r>
        <w:drawing>
          <wp:inline>
            <wp:extent cx="5334000" cy="4267200"/>
            <wp:effectExtent b="0" l="0" r="0" t="0"/>
            <wp:docPr descr="" title="" id="37" name="Picture"/>
            <a:graphic>
              <a:graphicData uri="http://schemas.openxmlformats.org/drawingml/2006/picture">
                <pic:pic>
                  <pic:nvPicPr>
                    <pic:cNvPr descr="Slide06PDF_files/figure-docx/ResultStackingModel-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1" w:name="tips"/>
    <w:p>
      <w:pPr>
        <w:pStyle w:val="Heading2"/>
      </w:pPr>
      <w:r>
        <w:t xml:space="preserve">Tips</w:t>
      </w:r>
    </w:p>
    <w:p>
      <w:pPr>
        <w:numPr>
          <w:ilvl w:val="0"/>
          <w:numId w:val="1012"/>
        </w:numPr>
      </w:pPr>
      <w:r>
        <w:t xml:space="preserve">異なるベースモデルを採用したアルゴリズムを入れる(Tree系統と線形モデル系統)</w:t>
      </w:r>
    </w:p>
    <w:p>
      <w:pPr>
        <w:numPr>
          <w:ilvl w:val="0"/>
          <w:numId w:val="1012"/>
        </w:numPr>
      </w:pPr>
      <w:r>
        <w:t xml:space="preserve">OLSや単純平均なども入れる</w:t>
      </w:r>
    </w:p>
    <w:p>
      <w:pPr>
        <w:numPr>
          <w:ilvl w:val="0"/>
          <w:numId w:val="1012"/>
        </w:numPr>
      </w:pPr>
      <w:r>
        <w:t xml:space="preserve">Phillips et al. (2022)</w:t>
      </w:r>
      <w:r>
        <w:t xml:space="preserve"> </w:t>
      </w:r>
      <w:r>
        <w:t xml:space="preserve">: より細かいSugestion</w:t>
      </w:r>
    </w:p>
    <w:p>
      <w:pPr>
        <w:numPr>
          <w:ilvl w:val="0"/>
          <w:numId w:val="1012"/>
        </w:numPr>
      </w:pPr>
      <w:r>
        <w:t xml:space="preserve">Some Variant</w:t>
      </w:r>
    </w:p>
    <w:p>
      <w:pPr>
        <w:numPr>
          <w:ilvl w:val="1"/>
          <w:numId w:val="1013"/>
        </w:numPr>
      </w:pPr>
      <w:hyperlink r:id="rId40">
        <w:r>
          <w:rPr>
            <w:rStyle w:val="Hyperlink"/>
          </w:rPr>
          <w:t xml:space="preserve">SuperLearner</w:t>
        </w:r>
      </w:hyperlink>
      <w:r>
        <w:t xml:space="preserve"> </w:t>
      </w:r>
      <w:r>
        <w:t xml:space="preserve">(Laan, Polley, and Hubbard 2007)</w:t>
      </w:r>
      <w:r>
        <w:t xml:space="preserve"> </w:t>
      </w:r>
      <w:r>
        <w:t xml:space="preserve">: OLS with non-negative coeffiients を集計に用いる</w:t>
      </w:r>
    </w:p>
    <w:p>
      <w:pPr>
        <w:numPr>
          <w:ilvl w:val="1"/>
          <w:numId w:val="1013"/>
        </w:numPr>
      </w:pPr>
      <w:r>
        <w:t xml:space="preserve">mlr3pipelines : より柔軟</w:t>
      </w:r>
    </w:p>
    <w:p>
      <w:pPr>
        <w:numPr>
          <w:ilvl w:val="2"/>
          <w:numId w:val="1014"/>
        </w:numPr>
        <w:pStyle w:val="Compact"/>
      </w:pPr>
      <w:r>
        <w:t xml:space="preserve">予測値 + 元の変数も用いることが可能、 任意のアルゴリズムを集計に利用可能</w:t>
      </w:r>
    </w:p>
    <w:bookmarkEnd w:id="41"/>
    <w:bookmarkEnd w:id="42"/>
    <w:bookmarkStart w:id="74" w:name="まとめ"/>
    <w:p>
      <w:pPr>
        <w:pStyle w:val="Heading1"/>
      </w:pPr>
      <w:r>
        <w:t xml:space="preserve">まとめ</w:t>
      </w:r>
    </w:p>
    <w:p>
      <w:pPr>
        <w:numPr>
          <w:ilvl w:val="0"/>
          <w:numId w:val="1015"/>
        </w:numPr>
      </w:pPr>
      <w:r>
        <w:t xml:space="preserve">母平均</w:t>
      </w:r>
      <w:r>
        <w:t xml:space="preserve"> </w:t>
      </w:r>
      <m:oMath>
        <m:r>
          <m:t>μ</m:t>
        </m:r>
        <m:d>
          <m:dPr>
            <m:begChr m:val="("/>
            <m:endChr m:val=")"/>
            <m:sepChr m:val=""/>
            <m:grow/>
          </m:dPr>
          <m:e>
            <m:r>
              <m:t>X</m:t>
            </m:r>
          </m:e>
        </m:d>
      </m:oMath>
      <w:r>
        <w:t xml:space="preserve"> </w:t>
      </w:r>
      <w:r>
        <w:t xml:space="preserve">を頑張って近似:</w:t>
      </w:r>
      <w:r>
        <w:t xml:space="preserve"> </w:t>
      </w:r>
      <m:oMath>
        <m:r>
          <m:rPr>
            <m:sty m:val="p"/>
          </m:rPr>
          <m:t>min</m:t>
        </m:r>
        <m:r>
          <m:t>E</m:t>
        </m:r>
        <m:d>
          <m:dPr>
            <m:begChr m:val="["/>
            <m:endChr m:val="]"/>
            <m:sepChr m:val=""/>
            <m:grow/>
          </m:dPr>
          <m:e>
            <m:sSup>
              <m:e>
                <m:d>
                  <m:dPr>
                    <m:begChr m:val="("/>
                    <m:endChr m:val=")"/>
                    <m:sepChr m:val=""/>
                    <m:grow/>
                  </m:dPr>
                  <m:e>
                    <m:sSub>
                      <m:e>
                        <m:r>
                          <m:t>μ</m:t>
                        </m:r>
                      </m:e>
                      <m:sub>
                        <m:r>
                          <m:t>Y</m:t>
                        </m:r>
                      </m:sub>
                    </m:sSub>
                    <m:d>
                      <m:dPr>
                        <m:begChr m:val="("/>
                        <m:endChr m:val=")"/>
                        <m:sepChr m:val=""/>
                        <m:grow/>
                      </m:dPr>
                      <m:e>
                        <m:r>
                          <m:t>X</m:t>
                        </m:r>
                      </m:e>
                    </m:d>
                    <m:r>
                      <m:rPr>
                        <m:sty m:val="p"/>
                      </m:rPr>
                      <m:t>−</m:t>
                    </m:r>
                    <m:r>
                      <m:t>Y</m:t>
                    </m:r>
                  </m:e>
                </m:d>
              </m:e>
              <m:sup>
                <m:r>
                  <m:t>2</m:t>
                </m:r>
              </m:sup>
            </m:sSup>
          </m:e>
        </m:d>
      </m:oMath>
    </w:p>
    <w:p>
      <w:pPr>
        <w:numPr>
          <w:ilvl w:val="0"/>
          <w:numId w:val="1015"/>
        </w:numPr>
      </w:pPr>
      <w:r>
        <w:t xml:space="preserve">一般に、特に有限サンプルに対して、</w:t>
      </w:r>
      <w:r>
        <w:t xml:space="preserve"> </w:t>
      </w:r>
      <w:r>
        <w:t xml:space="preserve">“</w:t>
      </w:r>
      <w:r>
        <w:t xml:space="preserve">one size fits all</w:t>
      </w:r>
      <w:r>
        <w:t xml:space="preserve">”</w:t>
      </w:r>
      <w:r>
        <w:t xml:space="preserve"> </w:t>
      </w:r>
      <w:r>
        <w:t xml:space="preserve">アルゴリズムは存在しない</w:t>
      </w:r>
    </w:p>
    <w:p>
      <w:pPr>
        <w:numPr>
          <w:ilvl w:val="0"/>
          <w:numId w:val="1015"/>
        </w:numPr>
      </w:pPr>
      <w:r>
        <w:t xml:space="preserve">予測モデルの”構造”を真剣に論じるべきかどうかは、慎重に検討</w:t>
      </w:r>
    </w:p>
    <w:p>
      <w:pPr>
        <w:numPr>
          <w:ilvl w:val="1"/>
          <w:numId w:val="1016"/>
        </w:numPr>
        <w:pStyle w:val="Compact"/>
      </w:pPr>
      <w:r>
        <w:t xml:space="preserve">現状、あまりおすすめしない</w:t>
      </w:r>
    </w:p>
    <w:bookmarkStart w:id="43" w:name="preprocess"/>
    <w:p>
      <w:pPr>
        <w:pStyle w:val="Heading2"/>
      </w:pPr>
      <w:r>
        <w:t xml:space="preserve">PreProcess</w:t>
      </w:r>
    </w:p>
    <w:p>
      <w:pPr>
        <w:numPr>
          <w:ilvl w:val="0"/>
          <w:numId w:val="1017"/>
        </w:numPr>
      </w:pPr>
      <w:r>
        <w:t xml:space="preserve">機械学習を用いるとしても、データクリーニングは重要</w:t>
      </w:r>
    </w:p>
    <w:p>
      <w:pPr>
        <w:numPr>
          <w:ilvl w:val="0"/>
          <w:numId w:val="1017"/>
        </w:numPr>
      </w:pPr>
      <w:r>
        <w:t xml:space="preserve">経済データではしばしば大量のカテゴリーがある変数が存在 (例: 所在地、テキスト、出身大学+学部)</w:t>
      </w:r>
    </w:p>
    <w:p>
      <w:pPr>
        <w:numPr>
          <w:ilvl w:val="1"/>
          <w:numId w:val="1018"/>
        </w:numPr>
      </w:pPr>
      <w:r>
        <w:t xml:space="preserve">ダミー変数として処理すると、ほとんど0(情報量が少ない)の大量の変数が出来上がる</w:t>
      </w:r>
    </w:p>
    <w:p>
      <w:pPr>
        <w:numPr>
          <w:ilvl w:val="1"/>
          <w:numId w:val="1018"/>
        </w:numPr>
      </w:pPr>
      <w:r>
        <w:t xml:space="preserve">学習性能が悪い</w:t>
      </w:r>
    </w:p>
    <w:p>
      <w:pPr>
        <w:numPr>
          <w:ilvl w:val="0"/>
          <w:numId w:val="1017"/>
        </w:numPr>
      </w:pPr>
      <w:r>
        <w:t xml:space="preserve">より少ない変数で近似したい(低次元のベクトル空間に埋め込む)</w:t>
      </w:r>
    </w:p>
    <w:p>
      <w:pPr>
        <w:numPr>
          <w:ilvl w:val="1"/>
          <w:numId w:val="1019"/>
        </w:numPr>
      </w:pPr>
      <w:r>
        <w:t xml:space="preserve">カテゴリー変数</w:t>
      </w:r>
      <w:r>
        <w:t xml:space="preserve"> </w:t>
      </w:r>
      <w:r>
        <w:t xml:space="preserve">(Johannemann et al., n.d.)</w:t>
      </w:r>
    </w:p>
    <w:p>
      <w:pPr>
        <w:numPr>
          <w:ilvl w:val="1"/>
          <w:numId w:val="1019"/>
        </w:numPr>
      </w:pPr>
      <w:r>
        <w:t xml:space="preserve">テキスト</w:t>
      </w:r>
      <w:r>
        <w:t xml:space="preserve"> </w:t>
      </w:r>
      <w:r>
        <w:t xml:space="preserve">(Gentzkow, Kelly, and Taddy 2019)</w:t>
      </w:r>
    </w:p>
    <w:bookmarkEnd w:id="43"/>
    <w:bookmarkStart w:id="44" w:name="cross-validation"/>
    <w:p>
      <w:pPr>
        <w:pStyle w:val="Heading2"/>
      </w:pPr>
      <w:r>
        <w:t xml:space="preserve">Cross Validation</w:t>
      </w:r>
    </w:p>
    <w:p>
      <w:pPr>
        <w:numPr>
          <w:ilvl w:val="0"/>
          <w:numId w:val="1020"/>
        </w:numPr>
      </w:pPr>
      <w:r>
        <w:t xml:space="preserve">サンプルサイズが巨大な場合、交差検証ではなく単純な分割 (検証データと訓練データ)が現実的</w:t>
      </w:r>
    </w:p>
    <w:p>
      <w:pPr>
        <w:numPr>
          <w:ilvl w:val="0"/>
          <w:numId w:val="1020"/>
        </w:numPr>
      </w:pPr>
      <w:r>
        <w:t xml:space="preserve">サンプルサイズが小さい時は？</w:t>
      </w:r>
    </w:p>
    <w:p>
      <w:pPr>
        <w:numPr>
          <w:ilvl w:val="1"/>
          <w:numId w:val="1021"/>
        </w:numPr>
      </w:pPr>
      <w:r>
        <w:t xml:space="preserve">非常に細かく分割する (leave one out)</w:t>
      </w:r>
    </w:p>
    <w:p>
      <w:pPr>
        <w:numPr>
          <w:ilvl w:val="1"/>
          <w:numId w:val="1021"/>
        </w:numPr>
      </w:pPr>
      <w:r>
        <w:t xml:space="preserve">「ある程度の規模で分割し評価する」を繰り返す (repeated cross validation)</w:t>
      </w:r>
    </w:p>
    <w:p>
      <w:pPr>
        <w:numPr>
          <w:ilvl w:val="1"/>
          <w:numId w:val="1021"/>
        </w:numPr>
      </w:pPr>
      <w:r>
        <w:t xml:space="preserve">後者をsuggest</w:t>
      </w:r>
    </w:p>
    <w:bookmarkEnd w:id="44"/>
    <w:bookmarkStart w:id="45" w:name="推定モデル"/>
    <w:p>
      <w:pPr>
        <w:pStyle w:val="Heading2"/>
      </w:pPr>
      <w:r>
        <w:t xml:space="preserve">推定モデル</w:t>
      </w:r>
    </w:p>
    <w:p>
      <w:pPr>
        <w:numPr>
          <w:ilvl w:val="0"/>
          <w:numId w:val="1022"/>
        </w:numPr>
      </w:pPr>
      <w:r>
        <w:t xml:space="preserve">通常の母集団についての統計的推論(信頼区間推定)は、極めて困難</w:t>
      </w:r>
    </w:p>
    <w:p>
      <w:pPr>
        <w:numPr>
          <w:ilvl w:val="1"/>
          <w:numId w:val="1023"/>
        </w:numPr>
        <w:pStyle w:val="Compact"/>
      </w:pPr>
      <w:r>
        <w:t xml:space="preserve">格差や不平等、因果効果研究に用いることは極めて危険</w:t>
      </w:r>
    </w:p>
    <w:p>
      <w:pPr>
        <w:numPr>
          <w:ilvl w:val="0"/>
          <w:numId w:val="1022"/>
        </w:numPr>
      </w:pPr>
      <w:r>
        <w:t xml:space="preserve">推定された予測モデルの性質 (</w:t>
      </w:r>
      <m:oMath>
        <m:r>
          <m:rPr>
            <m:sty m:val="p"/>
          </m:rPr>
          <m:t>≠</m:t>
        </m:r>
      </m:oMath>
      <w:r>
        <w:t xml:space="preserve"> </w:t>
      </w:r>
      <w:r>
        <w:t xml:space="preserve">母集団の性質) を可視化する手法は、多く議論されている</w:t>
      </w:r>
    </w:p>
    <w:p>
      <w:pPr>
        <w:numPr>
          <w:ilvl w:val="1"/>
          <w:numId w:val="1024"/>
        </w:numPr>
      </w:pPr>
      <w:r>
        <w:t xml:space="preserve">Model Interpretation</w:t>
      </w:r>
    </w:p>
    <w:p>
      <w:pPr>
        <w:numPr>
          <w:ilvl w:val="1"/>
          <w:numId w:val="1024"/>
        </w:numPr>
      </w:pPr>
      <w:r>
        <w:t xml:space="preserve">なぜそのような予測になるのか、</w:t>
      </w:r>
      <w:r>
        <w:t xml:space="preserve">“</w:t>
      </w:r>
      <w:r>
        <w:t xml:space="preserve">モデルを説明する</w:t>
      </w:r>
      <w:r>
        <w:t xml:space="preserve">”</w:t>
      </w:r>
    </w:p>
    <w:p>
      <w:pPr>
        <w:numPr>
          <w:ilvl w:val="1"/>
          <w:numId w:val="1024"/>
        </w:numPr>
      </w:pPr>
      <w:r>
        <w:t xml:space="preserve">“</w:t>
      </w:r>
      <w:r>
        <w:t xml:space="preserve">Fair</w:t>
      </w:r>
      <w:r>
        <w:t xml:space="preserve">”</w:t>
      </w:r>
      <w:r>
        <w:t xml:space="preserve"> </w:t>
      </w:r>
      <w:r>
        <w:t xml:space="preserve">Algorithmに関連して盛り上がる</w:t>
      </w:r>
    </w:p>
    <w:bookmarkEnd w:id="45"/>
    <w:bookmarkStart w:id="47" w:name="例-1"/>
    <w:p>
      <w:pPr>
        <w:pStyle w:val="Heading2"/>
      </w:pPr>
      <w:r>
        <w:t xml:space="preserve">例</w:t>
      </w:r>
    </w:p>
    <w:p>
      <w:pPr>
        <w:numPr>
          <w:ilvl w:val="0"/>
          <w:numId w:val="1025"/>
        </w:numPr>
      </w:pPr>
      <w:hyperlink r:id="rId46">
        <w:r>
          <w:rPr>
            <w:rStyle w:val="Hyperlink"/>
          </w:rPr>
          <w:t xml:space="preserve">DALEXパッケージ</w:t>
        </w:r>
      </w:hyperlink>
      <w:r>
        <w:t xml:space="preserve"> </w:t>
      </w:r>
      <w:r>
        <w:t xml:space="preserve">を利用</w:t>
      </w:r>
    </w:p>
    <w:p>
      <w:pPr>
        <w:numPr>
          <w:ilvl w:val="0"/>
          <w:numId w:val="1025"/>
        </w:numPr>
      </w:pPr>
      <m:oMath>
        <m:r>
          <m:t>Y</m:t>
        </m:r>
        <m:r>
          <m:rPr>
            <m:sty m:val="p"/>
          </m:rPr>
          <m:t>=</m:t>
        </m:r>
        <m:r>
          <m:t>D</m:t>
        </m:r>
        <m:r>
          <m:rPr>
            <m:sty m:val="p"/>
          </m:rPr>
          <m:t>+</m:t>
        </m:r>
        <m:r>
          <m:t>2</m:t>
        </m:r>
        <m:r>
          <m:rPr>
            <m:sty m:val="p"/>
          </m:rPr>
          <m:t>×</m:t>
        </m:r>
        <m:r>
          <m:t>I</m:t>
        </m:r>
        <m:d>
          <m:dPr>
            <m:begChr m:val="("/>
            <m:endChr m:val=")"/>
            <m:sepChr m:val=""/>
            <m:grow/>
          </m:dPr>
          <m:e>
            <m:r>
              <m:t>X</m:t>
            </m:r>
            <m:r>
              <m:rPr>
                <m:sty m:val="p"/>
              </m:rPr>
              <m:t>&gt;</m:t>
            </m:r>
            <m:r>
              <m:rPr>
                <m:sty m:val="p"/>
              </m:rPr>
              <m:t>=</m:t>
            </m:r>
            <m:r>
              <m:t>0.5</m:t>
            </m:r>
          </m:e>
        </m:d>
        <m:r>
          <m:rPr>
            <m:sty m:val="p"/>
          </m:rPr>
          <m:t>+</m:t>
        </m:r>
        <m:sSup>
          <m:e>
            <m:r>
              <m:t>X</m:t>
            </m:r>
          </m:e>
          <m:sup>
            <m:r>
              <m:t>2</m:t>
            </m:r>
          </m:sup>
        </m:sSup>
        <m:r>
          <m:rPr>
            <m:sty m:val="p"/>
          </m:rPr>
          <m:t>+</m:t>
        </m:r>
        <m:limLow>
          <m:e>
            <m:limLow>
              <m:e>
                <m:r>
                  <m:t>u</m:t>
                </m:r>
              </m:e>
              <m:lim>
                <m:r>
                  <m:rPr>
                    <m:sty m:val="p"/>
                  </m:rPr>
                  <m:t>⏟</m:t>
                </m:r>
              </m:lim>
            </m:limLow>
          </m:e>
          <m:lim>
            <m:r>
              <m:t>N</m:t>
            </m:r>
            <m:d>
              <m:dPr>
                <m:begChr m:val="("/>
                <m:endChr m:val=")"/>
                <m:sepChr m:val=""/>
                <m:grow/>
              </m:dPr>
              <m:e>
                <m:r>
                  <m:t>0</m:t>
                </m:r>
                <m:r>
                  <m:rPr>
                    <m:sty m:val="p"/>
                  </m:rPr>
                  <m:t>,</m:t>
                </m:r>
                <m:r>
                  <m:t>1</m:t>
                </m:r>
              </m:e>
            </m:d>
          </m:lim>
        </m:limLow>
      </m:oMath>
    </w:p>
    <w:p>
      <w:pPr>
        <w:numPr>
          <w:ilvl w:val="0"/>
          <w:numId w:val="1025"/>
        </w:numPr>
      </w:pPr>
      <w:r>
        <w:t xml:space="preserve">X,Dを用いる</w:t>
      </w:r>
    </w:p>
    <w:p>
      <w:pPr>
        <w:numPr>
          <w:ilvl w:val="0"/>
          <w:numId w:val="1025"/>
        </w:numPr>
      </w:pPr>
      <w:r>
        <w:t xml:space="preserve">Partial Dependent Plot:</w:t>
      </w:r>
      <w:r>
        <w:t xml:space="preserve"> </w:t>
      </w:r>
      <m:oMath>
        <m:sSup>
          <m:e>
            <m:r>
              <m:t>f</m:t>
            </m:r>
          </m:e>
          <m:sup>
            <m:r>
              <m:t>P</m:t>
            </m:r>
            <m:r>
              <m:t>D</m:t>
            </m:r>
            <m:r>
              <m:t>P</m:t>
            </m:r>
          </m:sup>
        </m:sSup>
        <m:d>
          <m:dPr>
            <m:begChr m:val="("/>
            <m:endChr m:val=")"/>
            <m:sepChr m:val=""/>
            <m:grow/>
          </m:dPr>
          <m:e>
            <m:sSub>
              <m:e>
                <m:r>
                  <m:t>X</m:t>
                </m:r>
              </m:e>
              <m:sub>
                <m:r>
                  <m:t>l</m:t>
                </m:r>
              </m:sub>
            </m:sSub>
          </m:e>
        </m:d>
        <m:r>
          <m:rPr>
            <m:sty m:val="p"/>
          </m:rPr>
          <m:t>=</m:t>
        </m:r>
        <m:nary>
          <m:naryPr>
            <m:chr m:val="∫"/>
            <m:limLoc m:val="subSup"/>
            <m:subHide m:val="0"/>
            <m:supHide m:val="1"/>
          </m:naryPr>
          <m:sub>
            <m:sSub>
              <m:e>
                <m:r>
                  <m:t>X</m:t>
                </m:r>
              </m:e>
              <m:sub>
                <m:r>
                  <m:rPr>
                    <m:sty m:val="p"/>
                  </m:rPr>
                  <m:t>−</m:t>
                </m:r>
                <m:r>
                  <m:t>l</m:t>
                </m:r>
              </m:sub>
            </m:sSub>
          </m:sub>
          <m:sup>
            <m:r>
              <m:t>​</m:t>
            </m:r>
          </m:sup>
          <m:e>
            <m:r>
              <m:t>f</m:t>
            </m:r>
          </m:e>
        </m:nary>
        <m:d>
          <m:dPr>
            <m:begChr m:val="("/>
            <m:endChr m:val=")"/>
            <m:sepChr m:val=""/>
            <m:grow/>
          </m:dPr>
          <m:e>
            <m:sSub>
              <m:e>
                <m:r>
                  <m:t>X</m:t>
                </m:r>
              </m:e>
              <m:sub>
                <m:r>
                  <m:t>l</m:t>
                </m:r>
              </m:sub>
            </m:sSub>
            <m:r>
              <m:rPr>
                <m:sty m:val="p"/>
              </m:rPr>
              <m:t>,</m:t>
            </m:r>
            <m:sSub>
              <m:e>
                <m:r>
                  <m:t>X</m:t>
                </m:r>
              </m:e>
              <m:sub>
                <m:r>
                  <m:rPr>
                    <m:sty m:val="p"/>
                  </m:rPr>
                  <m:t>−</m:t>
                </m:r>
                <m:r>
                  <m:t>l</m:t>
                </m:r>
              </m:sub>
            </m:sSub>
          </m:e>
        </m:d>
        <m:r>
          <m:t>d</m:t>
        </m:r>
        <m:r>
          <m:t>F</m:t>
        </m:r>
        <m:d>
          <m:dPr>
            <m:begChr m:val="("/>
            <m:endChr m:val=")"/>
            <m:sepChr m:val=""/>
            <m:grow/>
          </m:dPr>
          <m:e>
            <m:sSub>
              <m:e>
                <m:r>
                  <m:t>X</m:t>
                </m:r>
              </m:e>
              <m:sub>
                <m:r>
                  <m:rPr>
                    <m:sty m:val="p"/>
                  </m:rPr>
                  <m:t>−</m:t>
                </m:r>
                <m:r>
                  <m:t>l</m:t>
                </m:r>
              </m:sub>
            </m:sSub>
          </m:e>
        </m:d>
      </m:oMath>
    </w:p>
    <w:p>
      <w:pPr>
        <w:numPr>
          <w:ilvl w:val="1"/>
          <w:numId w:val="1026"/>
        </w:numPr>
        <w:pStyle w:val="Compact"/>
      </w:pPr>
      <w:r>
        <w:t xml:space="preserve">モデル全体の特徴を説明する</w:t>
      </w:r>
    </w:p>
    <w:p>
      <w:pPr>
        <w:numPr>
          <w:ilvl w:val="0"/>
          <w:numId w:val="1025"/>
        </w:numPr>
      </w:pPr>
      <w:r>
        <w:t xml:space="preserve">Break down profile</w:t>
      </w:r>
    </w:p>
    <w:p>
      <w:pPr>
        <w:numPr>
          <w:ilvl w:val="1"/>
          <w:numId w:val="1027"/>
        </w:numPr>
        <w:pStyle w:val="Compact"/>
      </w:pPr>
      <w:r>
        <w:t xml:space="preserve">個別事例に対する予測結果を説明する</w:t>
      </w:r>
    </w:p>
    <w:bookmarkEnd w:id="47"/>
    <w:bookmarkStart w:id="51" w:name="partial-dependent-plot"/>
    <w:p>
      <w:pPr>
        <w:pStyle w:val="Heading2"/>
      </w:pPr>
      <w:r>
        <w:t xml:space="preserve">Partial Dependent Plot</w:t>
      </w:r>
    </w:p>
    <w:p>
      <w:pPr>
        <w:pStyle w:val="FirstParagraph"/>
      </w:pPr>
      <w:r>
        <w:drawing>
          <wp:inline>
            <wp:extent cx="5334000" cy="4267200"/>
            <wp:effectExtent b="0" l="0" r="0" t="0"/>
            <wp:docPr descr="" title="" id="49" name="Picture"/>
            <a:graphic>
              <a:graphicData uri="http://schemas.openxmlformats.org/drawingml/2006/picture">
                <pic:pic>
                  <pic:nvPicPr>
                    <pic:cNvPr descr="Slide06PDF_files/figure-docx/unnamed-chunk-3-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Start w:id="55" w:name="partial-dependent-plot-1"/>
    <w:p>
      <w:pPr>
        <w:pStyle w:val="Heading2"/>
      </w:pPr>
      <w:r>
        <w:t xml:space="preserve">Partial Dependent Plot</w:t>
      </w:r>
    </w:p>
    <w:p>
      <w:pPr>
        <w:pStyle w:val="FirstParagraph"/>
      </w:pPr>
      <w:r>
        <w:drawing>
          <wp:inline>
            <wp:extent cx="5334000" cy="4267200"/>
            <wp:effectExtent b="0" l="0" r="0" t="0"/>
            <wp:docPr descr="" title="" id="53" name="Picture"/>
            <a:graphic>
              <a:graphicData uri="http://schemas.openxmlformats.org/drawingml/2006/picture">
                <pic:pic>
                  <pic:nvPicPr>
                    <pic:cNvPr descr="Slide06PDF_files/figure-docx/unnamed-chunk-4-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Start w:id="59" w:name="break-down-profile"/>
    <w:p>
      <w:pPr>
        <w:pStyle w:val="Heading2"/>
      </w:pPr>
      <w:r>
        <w:t xml:space="preserve">Break down profile</w:t>
      </w:r>
    </w:p>
    <w:p>
      <w:pPr>
        <w:pStyle w:val="FirstParagraph"/>
      </w:pPr>
      <w:r>
        <w:drawing>
          <wp:inline>
            <wp:extent cx="5334000" cy="4267200"/>
            <wp:effectExtent b="0" l="0" r="0" t="0"/>
            <wp:docPr descr="" title="" id="57" name="Picture"/>
            <a:graphic>
              <a:graphicData uri="http://schemas.openxmlformats.org/drawingml/2006/picture">
                <pic:pic>
                  <pic:nvPicPr>
                    <pic:cNvPr descr="Slide06PDF_files/figure-docx/unnamed-chunk-5-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Start w:id="73" w:name="reference"/>
    <w:p>
      <w:pPr>
        <w:pStyle w:val="Heading2"/>
      </w:pPr>
      <w:r>
        <w:t xml:space="preserve">Reference</w:t>
      </w:r>
    </w:p>
    <w:bookmarkStart w:id="72" w:name="refs"/>
    <w:bookmarkStart w:id="61" w:name="ref-gentzkow2019"/>
    <w:p>
      <w:pPr>
        <w:pStyle w:val="Bibliography"/>
      </w:pPr>
      <w:r>
        <w:t xml:space="preserve">Gentzkow, Matthew, Bryan Kelly, and Matt Taddy. 2019.</w:t>
      </w:r>
      <w:r>
        <w:t xml:space="preserve"> </w:t>
      </w:r>
      <w:r>
        <w:t xml:space="preserve">“Text as Data.”</w:t>
      </w:r>
      <w:r>
        <w:t xml:space="preserve"> </w:t>
      </w:r>
      <w:r>
        <w:rPr>
          <w:iCs/>
          <w:i/>
        </w:rPr>
        <w:t xml:space="preserve">Journal of Economic Literature</w:t>
      </w:r>
      <w:r>
        <w:t xml:space="preserve"> </w:t>
      </w:r>
      <w:r>
        <w:t xml:space="preserve">57 (3): 535–74.</w:t>
      </w:r>
      <w:r>
        <w:t xml:space="preserve"> </w:t>
      </w:r>
      <w:hyperlink r:id="rId60">
        <w:r>
          <w:rPr>
            <w:rStyle w:val="Hyperlink"/>
          </w:rPr>
          <w:t xml:space="preserve">https://doi.org/10.1257/jel.20181020</w:t>
        </w:r>
      </w:hyperlink>
      <w:r>
        <w:t xml:space="preserve">.</w:t>
      </w:r>
    </w:p>
    <w:bookmarkEnd w:id="61"/>
    <w:bookmarkStart w:id="63" w:name="ref-johannemann"/>
    <w:p>
      <w:pPr>
        <w:pStyle w:val="Bibliography"/>
      </w:pPr>
      <w:r>
        <w:t xml:space="preserve">Johannemann, Jonathan, Vitor Hadad, Susan Athey, and Stefan Wager. n.d.</w:t>
      </w:r>
      <w:r>
        <w:t xml:space="preserve"> </w:t>
      </w:r>
      <w:r>
        <w:t xml:space="preserve">“Sufficient Representations for Categorical Variables.”</w:t>
      </w:r>
      <w:r>
        <w:t xml:space="preserve"> </w:t>
      </w:r>
      <w:hyperlink r:id="rId62">
        <w:r>
          <w:rPr>
            <w:rStyle w:val="Hyperlink"/>
          </w:rPr>
          <w:t xml:space="preserve">https://doi.org/10.48550/arXiv.1908.09874</w:t>
        </w:r>
      </w:hyperlink>
      <w:r>
        <w:t xml:space="preserve">.</w:t>
      </w:r>
    </w:p>
    <w:bookmarkEnd w:id="63"/>
    <w:bookmarkStart w:id="65" w:name="ref-laan2007"/>
    <w:p>
      <w:pPr>
        <w:pStyle w:val="Bibliography"/>
      </w:pPr>
      <w:r>
        <w:t xml:space="preserve">Laan, Mark J. van der, Eric C. Polley, and Alan E. Hubbard. 2007.</w:t>
      </w:r>
      <w:r>
        <w:t xml:space="preserve"> </w:t>
      </w:r>
      <w:r>
        <w:t xml:space="preserve">“Super Learner.”</w:t>
      </w:r>
      <w:r>
        <w:t xml:space="preserve"> </w:t>
      </w:r>
      <w:r>
        <w:rPr>
          <w:iCs/>
          <w:i/>
        </w:rPr>
        <w:t xml:space="preserve">Statistical Applications in Genetics and Molecular Biology</w:t>
      </w:r>
      <w:r>
        <w:t xml:space="preserve"> </w:t>
      </w:r>
      <w:r>
        <w:t xml:space="preserve">6 (1).</w:t>
      </w:r>
      <w:r>
        <w:t xml:space="preserve"> </w:t>
      </w:r>
      <w:hyperlink r:id="rId64">
        <w:r>
          <w:rPr>
            <w:rStyle w:val="Hyperlink"/>
          </w:rPr>
          <w:t xml:space="preserve">https://doi.org/10.2202/1544-6115.1309</w:t>
        </w:r>
      </w:hyperlink>
      <w:r>
        <w:t xml:space="preserve">.</w:t>
      </w:r>
    </w:p>
    <w:bookmarkEnd w:id="65"/>
    <w:bookmarkStart w:id="67" w:name="ref-le2022"/>
    <w:p>
      <w:pPr>
        <w:pStyle w:val="Bibliography"/>
      </w:pPr>
      <w:r>
        <w:t xml:space="preserve">Le, Tri M., and Bertrand S. Clarke. 2022.</w:t>
      </w:r>
      <w:r>
        <w:t xml:space="preserve"> </w:t>
      </w:r>
      <w:r>
        <w:t xml:space="preserve">“Model Averaging Is Asymptotically Better Than Model Selection for Prediction.”</w:t>
      </w:r>
      <w:r>
        <w:t xml:space="preserve"> </w:t>
      </w:r>
      <w:r>
        <w:rPr>
          <w:iCs/>
          <w:i/>
        </w:rPr>
        <w:t xml:space="preserve">Journal of Machine Learning Research</w:t>
      </w:r>
      <w:r>
        <w:t xml:space="preserve"> </w:t>
      </w:r>
      <w:r>
        <w:t xml:space="preserve">23 (33): 1–53.</w:t>
      </w:r>
      <w:r>
        <w:t xml:space="preserve"> </w:t>
      </w:r>
      <w:hyperlink r:id="rId66">
        <w:r>
          <w:rPr>
            <w:rStyle w:val="Hyperlink"/>
          </w:rPr>
          <w:t xml:space="preserve">http://jmlr.org/papers/v23/20-874.html</w:t>
        </w:r>
      </w:hyperlink>
      <w:r>
        <w:t xml:space="preserve">.</w:t>
      </w:r>
    </w:p>
    <w:bookmarkEnd w:id="67"/>
    <w:bookmarkStart w:id="69" w:name="ref-phillips"/>
    <w:p>
      <w:pPr>
        <w:pStyle w:val="Bibliography"/>
      </w:pPr>
      <w:r>
        <w:t xml:space="preserve">Phillips, Rachael V., Mark J. van der Laan, Hana Lee, and Susan Gruber. 2022.</w:t>
      </w:r>
      <w:r>
        <w:t xml:space="preserve"> </w:t>
      </w:r>
      <w:r>
        <w:t xml:space="preserve">“Practical Considerations for Specifying a Super Learner.”</w:t>
      </w:r>
      <w:r>
        <w:t xml:space="preserve"> </w:t>
      </w:r>
      <w:hyperlink r:id="rId68">
        <w:r>
          <w:rPr>
            <w:rStyle w:val="Hyperlink"/>
          </w:rPr>
          <w:t xml:space="preserve">https://doi.org/10.48550/arXiv.2204.06139</w:t>
        </w:r>
      </w:hyperlink>
      <w:r>
        <w:t xml:space="preserve">.</w:t>
      </w:r>
    </w:p>
    <w:bookmarkEnd w:id="69"/>
    <w:bookmarkStart w:id="71" w:name="ref-vansteelandt"/>
    <w:p>
      <w:pPr>
        <w:pStyle w:val="Bibliography"/>
      </w:pPr>
      <w:r>
        <w:t xml:space="preserve">Vansteelandt, Stijn, and Oliver Dukes. 2022.</w:t>
      </w:r>
      <w:r>
        <w:t xml:space="preserve"> </w:t>
      </w:r>
      <w:r>
        <w:t xml:space="preserve">“Assumption-Lean Inference for Generalised Linear Model Parameters.”</w:t>
      </w:r>
      <w:r>
        <w:t xml:space="preserve"> </w:t>
      </w:r>
      <w:r>
        <w:rPr>
          <w:iCs/>
          <w:i/>
        </w:rPr>
        <w:t xml:space="preserve">Journal of the Royal Statistical Society Series B (Statistical Methodology)</w:t>
      </w:r>
      <w:r>
        <w:t xml:space="preserve">.</w:t>
      </w:r>
      <w:r>
        <w:t xml:space="preserve"> </w:t>
      </w:r>
      <w:hyperlink r:id="rId70">
        <w:r>
          <w:rPr>
            <w:rStyle w:val="Hyperlink"/>
          </w:rPr>
          <w:t xml:space="preserve">https://doi.org/10.48550/arXiv.2006.08402</w:t>
        </w:r>
      </w:hyperlink>
      <w:r>
        <w:t xml:space="preserve">.</w:t>
      </w:r>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66" Target="http://jmlr.org/papers/v23/20-874.html" TargetMode="External" /><Relationship Type="http://schemas.openxmlformats.org/officeDocument/2006/relationships/hyperlink" Id="rId28" Target="https://biblio.ugent.be/publication/8762862" TargetMode="External" /><Relationship Type="http://schemas.openxmlformats.org/officeDocument/2006/relationships/hyperlink" Id="rId46" Target="https://dalex.drwhy.ai/" TargetMode="External" /><Relationship Type="http://schemas.openxmlformats.org/officeDocument/2006/relationships/hyperlink" Id="rId60" Target="https://doi.org/10.1257/jel.20181020" TargetMode="External" /><Relationship Type="http://schemas.openxmlformats.org/officeDocument/2006/relationships/hyperlink" Id="rId64" Target="https://doi.org/10.2202/1544-6115.1309" TargetMode="External" /><Relationship Type="http://schemas.openxmlformats.org/officeDocument/2006/relationships/hyperlink" Id="rId62" Target="https://doi.org/10.48550/arXiv.1908.09874" TargetMode="External" /><Relationship Type="http://schemas.openxmlformats.org/officeDocument/2006/relationships/hyperlink" Id="rId70" Target="https://doi.org/10.48550/arXiv.2006.08402" TargetMode="External" /><Relationship Type="http://schemas.openxmlformats.org/officeDocument/2006/relationships/hyperlink" Id="rId68" Target="https://doi.org/10.48550/arXiv.2204.06139" TargetMode="External" /><Relationship Type="http://schemas.openxmlformats.org/officeDocument/2006/relationships/hyperlink" Id="rId40" Target="https://github.com/tlverse/sl3" TargetMode="External" /></Relationships>
</file>

<file path=word/_rels/footnotes.xml.rels><?xml version="1.0" encoding="UTF-8"?><Relationships xmlns="http://schemas.openxmlformats.org/package/2006/relationships"><Relationship Type="http://schemas.openxmlformats.org/officeDocument/2006/relationships/hyperlink" Id="rId66" Target="http://jmlr.org/papers/v23/20-874.html" TargetMode="External" /><Relationship Type="http://schemas.openxmlformats.org/officeDocument/2006/relationships/hyperlink" Id="rId28" Target="https://biblio.ugent.be/publication/8762862" TargetMode="External" /><Relationship Type="http://schemas.openxmlformats.org/officeDocument/2006/relationships/hyperlink" Id="rId46" Target="https://dalex.drwhy.ai/" TargetMode="External" /><Relationship Type="http://schemas.openxmlformats.org/officeDocument/2006/relationships/hyperlink" Id="rId60" Target="https://doi.org/10.1257/jel.20181020" TargetMode="External" /><Relationship Type="http://schemas.openxmlformats.org/officeDocument/2006/relationships/hyperlink" Id="rId64" Target="https://doi.org/10.2202/1544-6115.1309" TargetMode="External" /><Relationship Type="http://schemas.openxmlformats.org/officeDocument/2006/relationships/hyperlink" Id="rId62" Target="https://doi.org/10.48550/arXiv.1908.09874" TargetMode="External" /><Relationship Type="http://schemas.openxmlformats.org/officeDocument/2006/relationships/hyperlink" Id="rId70" Target="https://doi.org/10.48550/arXiv.2006.08402" TargetMode="External" /><Relationship Type="http://schemas.openxmlformats.org/officeDocument/2006/relationships/hyperlink" Id="rId68" Target="https://doi.org/10.48550/arXiv.2204.06139" TargetMode="External" /><Relationship Type="http://schemas.openxmlformats.org/officeDocument/2006/relationships/hyperlink" Id="rId40" Target="https://github.com/tlverse/sl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Stacking/Tips</dc:title>
  <dc:creator>川田恵介</dc:creator>
  <cp:keywords/>
  <dcterms:created xsi:type="dcterms:W3CDTF">2022-11-06T09:52:53Z</dcterms:created>
  <dcterms:modified xsi:type="dcterms:W3CDTF">2022-11-06T09:52:53Z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機械学習の経済学への応用</vt:lpwstr>
  </property>
  <property fmtid="{D5CDD505-2E9C-101B-9397-08002B2CF9AE}" pid="12" name="toc-title">
    <vt:lpwstr>Table of contents</vt:lpwstr>
  </property>
</Properties>
</file>